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rial" w:hAnsi="Arial" w:cs="Arial"/>
          <w:b/>
          <w:i w:val="0"/>
          <w:color w:val="1F4D78"/>
          <w:sz w:val="18"/>
        </w:rPr>
        <w:t>КОНСОЛИДИРОВАННАЯ РЕДАКЦИЯ 1.3</w:t>
      </w:r>
    </w:p>
    <w:p>
      <w:pPr>
        <w:spacing w:after="60"/>
        <w:jc w:val="center"/>
      </w:pPr>
      <w:r>
        <w:rPr>
          <w:rFonts w:ascii="Arial" w:hAnsi="Arial" w:cs="Arial"/>
          <w:b/>
          <w:i w:val="0"/>
          <w:color w:val="142436"/>
          <w:sz w:val="31"/>
        </w:rPr>
        <w:t>ПУБЛИЧНАЯ ОФЕРТА И УСЛОВИЯ СЕРВИСА «АКТИВ PRO»</w:t>
      </w:r>
    </w:p>
    <w:p>
      <w:pPr>
        <w:spacing w:after="200"/>
        <w:jc w:val="center"/>
      </w:pPr>
      <w:r>
        <w:rPr>
          <w:rFonts w:ascii="Arial" w:hAnsi="Arial" w:cs="Arial"/>
          <w:b w:val="0"/>
          <w:i w:val="0"/>
          <w:color w:val="595959"/>
          <w:sz w:val="19"/>
        </w:rPr>
        <w:t>подписка, тарифы, электронное взаимодействие, публикация и обращения</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80" w:type="dxa"/>
              <w:start w:w="120" w:type="dxa"/>
              <w:bottom w:w="80" w:type="dxa"/>
              <w:end w:w="120" w:type="dxa"/>
            </w:tcMar>
            <w:shd w:fill="F2F4F7"/>
          </w:tcPr>
          <w:p>
            <w:pPr>
              <w:spacing w:after="0"/>
            </w:pPr>
            <w:r/>
            <w:r>
              <w:rPr>
                <w:rFonts w:ascii="Arial" w:hAnsi="Arial" w:cs="Arial"/>
                <w:b w:val="0"/>
                <w:i/>
                <w:color w:val="595959"/>
                <w:sz w:val="17"/>
              </w:rPr>
              <w:t>Как читать этот документ: это MVP-редакция правил Active PRO. Платформа автоматически подставляет данные сторон, объекта, услуги, даты и цены; выбор, который зависит от воли пользователя, всегда показывается и подтверждается отдельно.</w:t>
            </w:r>
          </w:p>
        </w:tc>
      </w:tr>
    </w:tbl>
    <w:p>
      <w:pPr>
        <w:spacing w:line="220" w:lineRule="exact" w:after="20"/>
      </w:pPr>
      <w:r>
        <w:rPr>
          <w:rFonts w:ascii="Arial" w:hAnsi="Arial" w:cs="Arial"/>
          <w:b w:val="0"/>
          <w:i w:val="0"/>
          <w:color w:val="595959"/>
          <w:sz w:val="4"/>
        </w:rPr>
        <w:t xml:space="preserve"> </w:t>
      </w:r>
    </w:p>
    <w:p>
      <w:pPr>
        <w:spacing w:after="80" w:line="245" w:lineRule="auto"/>
      </w:pPr>
      <w:r>
        <w:rPr>
          <w:rFonts w:ascii="Arial" w:hAnsi="Arial" w:cs="Arial"/>
          <w:b w:val="0"/>
          <w:i w:val="0"/>
          <w:color w:val="142436"/>
          <w:sz w:val="19"/>
        </w:rPr>
        <w:t>Исполнитель — ООО «Актив Плюс», ОГРН 1123702029923, ИНН 3702684484, КПП 470501001, адрес: 188300, Ленинградская область, Гатчинский район, г. Гатчина, пр-кт 25 Октября, д. 42а, помещ. 1, офис 354; сайт: https://img-cache.pw; адрес для юридически значимых обращений: test-mail@img-cache.pw.</w:t>
      </w:r>
    </w:p>
    <w:p>
      <w:pPr>
        <w:spacing w:before="140" w:after="80"/>
      </w:pPr>
      <w:r>
        <w:rPr>
          <w:rFonts w:ascii="Arial" w:hAnsi="Arial" w:cs="Arial"/>
          <w:b/>
          <w:i w:val="0"/>
          <w:color w:val="1F4D78"/>
          <w:sz w:val="24"/>
        </w:rPr>
        <w:t>1. Термины, статус и предмет</w:t>
      </w:r>
    </w:p>
    <w:p>
      <w:pPr>
        <w:spacing w:after="80" w:line="245" w:lineRule="auto"/>
      </w:pPr>
      <w:r>
        <w:rPr>
          <w:rFonts w:ascii="Arial" w:hAnsi="Arial" w:cs="Arial"/>
          <w:b w:val="0"/>
          <w:i w:val="0"/>
          <w:color w:val="142436"/>
          <w:sz w:val="19"/>
        </w:rPr>
        <w:t>«Сервис» — программные и информационные функции Active PRO: аккаунт, каталог, запись, документооборот, уведомления и иные функции выбранного тарифа. «Пользователь» — юридическое лицо, ИП или плательщик НПД, действующий в связи с профессиональной деятельностью. «Прямые стороны» — владелец объекта, специалист и клиент в их собственных отношениях.</w:t>
      </w:r>
    </w:p>
    <w:p>
      <w:pPr>
        <w:spacing w:after="80" w:line="245" w:lineRule="auto"/>
      </w:pPr>
      <w:r>
        <w:rPr>
          <w:rFonts w:ascii="Arial" w:hAnsi="Arial" w:cs="Arial"/>
          <w:b w:val="0"/>
          <w:i w:val="0"/>
          <w:color w:val="142436"/>
          <w:sz w:val="19"/>
        </w:rPr>
        <w:t>Настоящий документ является публичной офертой Исполнителя. С момента её принятия между Исполнителем и Пользователем заключается договор о доступе к Сервису на условиях выбранного тарифа. Сервис не оказывает эстетические услуги, не передаёт во владение кабинеты или оборудование, не принимает решения о допуске к услугам и не является представителем, агентом, работодателем, страховщиком, арендодателем, арендатором либо платёжным посредником Прямых сторон.</w:t>
      </w:r>
    </w:p>
    <w:p>
      <w:pPr>
        <w:spacing w:before="140" w:after="80"/>
      </w:pPr>
      <w:r>
        <w:rPr>
          <w:rFonts w:ascii="Arial" w:hAnsi="Arial" w:cs="Arial"/>
          <w:b/>
          <w:i w:val="0"/>
          <w:color w:val="1F4D78"/>
          <w:sz w:val="24"/>
        </w:rPr>
        <w:t>2. Кто вправе пользоваться и за что отвечает</w:t>
      </w:r>
    </w:p>
    <w:p>
      <w:pPr>
        <w:spacing w:after="80" w:line="245" w:lineRule="auto"/>
      </w:pPr>
      <w:r>
        <w:rPr>
          <w:rFonts w:ascii="Arial" w:hAnsi="Arial" w:cs="Arial"/>
          <w:b w:val="0"/>
          <w:i w:val="0"/>
          <w:color w:val="142436"/>
          <w:sz w:val="19"/>
        </w:rPr>
        <w:t>Пользователь подтверждает, что имеет требуемый статус, правоспособность, полномочия представителя и законное право использовать заявленные им данные, материалы и документы. Он самостоятельно отвечает за свои налоги, расчёты с Прямыми сторонами, содержание профиля, рекламу, квалификацию, соблюдение правил объекта и законность своей деятельности.</w:t>
      </w:r>
    </w:p>
    <w:p>
      <w:pPr>
        <w:spacing w:after="80" w:line="245" w:lineRule="auto"/>
      </w:pPr>
      <w:r>
        <w:rPr>
          <w:rFonts w:ascii="Arial" w:hAnsi="Arial" w:cs="Arial"/>
          <w:b w:val="0"/>
          <w:i w:val="0"/>
          <w:color w:val="142436"/>
          <w:sz w:val="19"/>
        </w:rPr>
        <w:t>Аккаунт является персональным средством доступа. Пользователь обеспечивает сохранность пароля, одноразовых кодов и устройств, незамедлительно сообщает о подозрении на их компрометацию и несёт риск действий, совершённых до такого сообщения с использованием его учётных данных, если не докажет отсутствие своей вины.</w:t>
      </w:r>
    </w:p>
    <w:p>
      <w:pPr>
        <w:spacing w:before="140" w:after="80"/>
      </w:pPr>
      <w:r>
        <w:rPr>
          <w:rFonts w:ascii="Arial" w:hAnsi="Arial" w:cs="Arial"/>
          <w:b/>
          <w:i w:val="0"/>
          <w:color w:val="1F4D78"/>
          <w:sz w:val="24"/>
        </w:rPr>
        <w:t>3. Принятие оферты и электронные доказательства</w:t>
      </w:r>
    </w:p>
    <w:p>
      <w:pPr>
        <w:spacing w:after="80" w:line="245" w:lineRule="auto"/>
      </w:pPr>
      <w:r>
        <w:rPr>
          <w:rFonts w:ascii="Arial" w:hAnsi="Arial" w:cs="Arial"/>
          <w:b w:val="0"/>
          <w:i w:val="0"/>
          <w:color w:val="142436"/>
          <w:sz w:val="19"/>
        </w:rPr>
        <w:t>До оплаты Пользователь видит действующую редакцию оферты, тариф, период, цену и применимые условия. Оферта принимается отдельной отметкой в интерфейсе и действием, прямо указанным в интерфейсе как подтверждение. Для документов Прямых сторон может применяться одноразовый код или иной показанный способ подтверждения.</w:t>
      </w:r>
    </w:p>
    <w:p>
      <w:pPr>
        <w:spacing w:after="80" w:line="245" w:lineRule="auto"/>
      </w:pPr>
      <w:r>
        <w:rPr>
          <w:rFonts w:ascii="Arial" w:hAnsi="Arial" w:cs="Arial"/>
          <w:b w:val="0"/>
          <w:i w:val="0"/>
          <w:color w:val="142436"/>
          <w:sz w:val="19"/>
        </w:rPr>
        <w:t>Исполнитель вправе хранить неизменяемый текст или PDF, версию, контрольную сумму, дату и время, идентификатор аккаунта, IP-адрес, сведения об устройстве, выбранные параметры и журнал действий. Эти сведения образуют доказательственный набор совершения электронного действия, пока не доказано иное. Исполнитель вправе приостановить подтверждение при технической ошибке, подозрении на злоупотребление или риске безопасности.</w:t>
      </w:r>
    </w:p>
    <w:p>
      <w:r>
        <w:br w:type="page"/>
      </w:r>
    </w:p>
    <w:p>
      <w:pPr>
        <w:spacing w:before="140" w:after="80"/>
      </w:pPr>
      <w:r>
        <w:rPr>
          <w:rFonts w:ascii="Arial" w:hAnsi="Arial" w:cs="Arial"/>
          <w:b/>
          <w:i w:val="0"/>
          <w:color w:val="1F4D78"/>
          <w:sz w:val="24"/>
        </w:rPr>
        <w:t>4. Тариф, цена, оплата и автопродление</w:t>
      </w:r>
    </w:p>
    <w:p>
      <w:pPr>
        <w:spacing w:after="80" w:line="245" w:lineRule="auto"/>
      </w:pPr>
      <w:r>
        <w:rPr>
          <w:rFonts w:ascii="Arial" w:hAnsi="Arial" w:cs="Arial"/>
          <w:b w:val="0"/>
          <w:i w:val="0"/>
          <w:color w:val="142436"/>
          <w:sz w:val="19"/>
        </w:rPr>
        <w:t>Тарифная матрица является неотъемлемой частью Оферты. Она применяется к одному аккаунту Пользователя: базовая цена включает один кабинет с базовой комплектацией; надбавка за специальное оборудование применяется один раз, если в аккаунте подключено хотя бы одно включённое специальное оборудование; надбавка за каждый следующий кабинет начисляется сверх базовой цены. Цена определяется по составу кабинетов и оборудования в момент показа расчёта. Изменение этого состава не меняет уже оплаченный период и требует нового расчёта до следующего периода.</w:t>
      </w:r>
    </w:p>
    <w:p>
      <w:pPr>
        <w:spacing w:line="140" w:lineRule="exact" w:after="20"/>
      </w:pPr>
      <w:r>
        <w:rPr>
          <w:rFonts w:ascii="Arial" w:hAnsi="Arial" w:cs="Arial"/>
          <w:b w:val="0"/>
          <w:i w:val="0"/>
          <w:color w:val="595959"/>
          <w:sz w:val="4"/>
        </w:rPr>
        <w:t xml:space="preserve"> </w:t>
      </w:r>
    </w:p>
    <w:tbl>
      <w:tblPr>
        <w:tblW w:type="dxa" w:w="9360"/>
        <w:jc w:val="left"/>
        <w:tblLayout w:type="fixed"/>
        <w:tblLook w:firstColumn="1" w:firstRow="1" w:lastColumn="0" w:lastRow="0" w:noHBand="0" w:noVBand="1" w:val="04A0"/>
        <w:tblInd w:w="120" w:type="dxa"/>
      </w:tblPr>
      <w:tblGrid>
        <w:gridCol w:w="3900"/>
        <w:gridCol w:w="1820"/>
        <w:gridCol w:w="1820"/>
        <w:gridCol w:w="1820"/>
      </w:tblGrid>
      <w:tr>
        <w:tc>
          <w:tcPr>
            <w:tcW w:type="dxa" w:w="3900"/>
            <w:shd w:fill="1F4D78"/>
            <w:vAlign w:val="center"/>
            <w:tcMar>
              <w:top w:w="80" w:type="dxa"/>
              <w:start w:w="120" w:type="dxa"/>
              <w:bottom w:w="80" w:type="dxa"/>
              <w:end w:w="120" w:type="dxa"/>
            </w:tcMar>
          </w:tcPr>
          <w:p>
            <w:r/>
            <w:r>
              <w:rPr>
                <w:rFonts w:ascii="Arial" w:hAnsi="Arial" w:cs="Arial"/>
                <w:b/>
                <w:i w:val="0"/>
                <w:color w:val="FFFFFF"/>
                <w:sz w:val="16"/>
              </w:rPr>
              <w:t>Сценарий</w:t>
            </w:r>
          </w:p>
        </w:tc>
        <w:tc>
          <w:tcPr>
            <w:tcW w:type="dxa" w:w="1820"/>
            <w:shd w:fill="1F4D78"/>
            <w:vAlign w:val="center"/>
            <w:tcMar>
              <w:top w:w="80" w:type="dxa"/>
              <w:start w:w="120" w:type="dxa"/>
              <w:bottom w:w="80" w:type="dxa"/>
              <w:end w:w="120" w:type="dxa"/>
            </w:tcMar>
          </w:tcPr>
          <w:p>
            <w:r/>
            <w:r>
              <w:rPr>
                <w:rFonts w:ascii="Arial" w:hAnsi="Arial" w:cs="Arial"/>
                <w:b/>
                <w:i w:val="0"/>
                <w:color w:val="FFFFFF"/>
                <w:sz w:val="16"/>
              </w:rPr>
              <w:t>1 месяц</w:t>
            </w:r>
          </w:p>
        </w:tc>
        <w:tc>
          <w:tcPr>
            <w:tcW w:type="dxa" w:w="1820"/>
            <w:shd w:fill="1F4D78"/>
            <w:vAlign w:val="center"/>
            <w:tcMar>
              <w:top w:w="80" w:type="dxa"/>
              <w:start w:w="120" w:type="dxa"/>
              <w:bottom w:w="80" w:type="dxa"/>
              <w:end w:w="120" w:type="dxa"/>
            </w:tcMar>
          </w:tcPr>
          <w:p>
            <w:r/>
            <w:r>
              <w:rPr>
                <w:rFonts w:ascii="Arial" w:hAnsi="Arial" w:cs="Arial"/>
                <w:b/>
                <w:i w:val="0"/>
                <w:color w:val="FFFFFF"/>
                <w:sz w:val="16"/>
              </w:rPr>
              <w:t>6 месяцев</w:t>
            </w:r>
          </w:p>
        </w:tc>
        <w:tc>
          <w:tcPr>
            <w:tcW w:type="dxa" w:w="1820"/>
            <w:shd w:fill="1F4D78"/>
            <w:vAlign w:val="center"/>
            <w:tcMar>
              <w:top w:w="80" w:type="dxa"/>
              <w:start w:w="120" w:type="dxa"/>
              <w:bottom w:w="80" w:type="dxa"/>
              <w:end w:w="120" w:type="dxa"/>
            </w:tcMar>
          </w:tcPr>
          <w:p>
            <w:r/>
            <w:r>
              <w:rPr>
                <w:rFonts w:ascii="Arial" w:hAnsi="Arial" w:cs="Arial"/>
                <w:b/>
                <w:i w:val="0"/>
                <w:color w:val="FFFFFF"/>
                <w:sz w:val="16"/>
              </w:rPr>
              <w:t>12 месяцев</w:t>
            </w:r>
          </w:p>
        </w:tc>
      </w:tr>
      <w:tr>
        <w:tc>
          <w:tcPr>
            <w:tcW w:type="dxa" w:w="3900"/>
            <w:vAlign w:val="center"/>
            <w:tcMar>
              <w:top w:w="80" w:type="dxa"/>
              <w:start w:w="120" w:type="dxa"/>
              <w:bottom w:w="80" w:type="dxa"/>
              <w:end w:w="120" w:type="dxa"/>
            </w:tcMar>
          </w:tcPr>
          <w:p>
            <w:r/>
            <w:r>
              <w:rPr>
                <w:rFonts w:ascii="Arial" w:hAnsi="Arial" w:cs="Arial"/>
                <w:b w:val="0"/>
                <w:i w:val="0"/>
                <w:color w:val="142436"/>
                <w:sz w:val="16"/>
              </w:rPr>
              <w:t>1 кабинет с базовой комплектацией</w:t>
            </w:r>
          </w:p>
        </w:tc>
        <w:tc>
          <w:tcPr>
            <w:tcW w:type="dxa" w:w="1820"/>
            <w:vAlign w:val="center"/>
            <w:tcMar>
              <w:top w:w="80" w:type="dxa"/>
              <w:start w:w="120" w:type="dxa"/>
              <w:bottom w:w="80" w:type="dxa"/>
              <w:end w:w="120" w:type="dxa"/>
            </w:tcMar>
          </w:tcPr>
          <w:p>
            <w:r/>
            <w:r>
              <w:rPr>
                <w:rFonts w:ascii="Arial" w:hAnsi="Arial" w:cs="Arial"/>
                <w:b/>
                <w:i w:val="0"/>
                <w:color w:val="142436"/>
                <w:sz w:val="16"/>
              </w:rPr>
              <w:t>3 000 ₽</w:t>
            </w:r>
          </w:p>
        </w:tc>
        <w:tc>
          <w:tcPr>
            <w:tcW w:type="dxa" w:w="1820"/>
            <w:vAlign w:val="center"/>
            <w:tcMar>
              <w:top w:w="80" w:type="dxa"/>
              <w:start w:w="120" w:type="dxa"/>
              <w:bottom w:w="80" w:type="dxa"/>
              <w:end w:w="120" w:type="dxa"/>
            </w:tcMar>
          </w:tcPr>
          <w:p>
            <w:r/>
            <w:r>
              <w:rPr>
                <w:rFonts w:ascii="Arial" w:hAnsi="Arial" w:cs="Arial"/>
                <w:b/>
                <w:i w:val="0"/>
                <w:color w:val="142436"/>
                <w:sz w:val="16"/>
              </w:rPr>
              <w:t>16 200 ₽</w:t>
            </w:r>
          </w:p>
        </w:tc>
        <w:tc>
          <w:tcPr>
            <w:tcW w:type="dxa" w:w="1820"/>
            <w:vAlign w:val="center"/>
            <w:tcMar>
              <w:top w:w="80" w:type="dxa"/>
              <w:start w:w="120" w:type="dxa"/>
              <w:bottom w:w="80" w:type="dxa"/>
              <w:end w:w="120" w:type="dxa"/>
            </w:tcMar>
          </w:tcPr>
          <w:p>
            <w:r/>
            <w:r>
              <w:rPr>
                <w:rFonts w:ascii="Arial" w:hAnsi="Arial" w:cs="Arial"/>
                <w:b/>
                <w:i w:val="0"/>
                <w:color w:val="142436"/>
                <w:sz w:val="16"/>
              </w:rPr>
              <w:t>27 000 ₽</w:t>
            </w:r>
          </w:p>
        </w:tc>
      </w:tr>
      <w:tr>
        <w:tc>
          <w:tcPr>
            <w:tcW w:type="dxa" w:w="3900"/>
            <w:shd w:fill="F5F8FB"/>
            <w:vAlign w:val="center"/>
            <w:tcMar>
              <w:top w:w="80" w:type="dxa"/>
              <w:start w:w="120" w:type="dxa"/>
              <w:bottom w:w="80" w:type="dxa"/>
              <w:end w:w="120" w:type="dxa"/>
            </w:tcMar>
          </w:tcPr>
          <w:p>
            <w:r/>
            <w:r>
              <w:rPr>
                <w:rFonts w:ascii="Arial" w:hAnsi="Arial" w:cs="Arial"/>
                <w:b w:val="0"/>
                <w:i w:val="0"/>
                <w:color w:val="142436"/>
                <w:sz w:val="16"/>
              </w:rPr>
              <w:t>1 кабинет, если подключено специальное оборудование</w:t>
            </w:r>
          </w:p>
        </w:tc>
        <w:tc>
          <w:tcPr>
            <w:tcW w:type="dxa" w:w="1820"/>
            <w:shd w:fill="F5F8FB"/>
            <w:vAlign w:val="center"/>
            <w:tcMar>
              <w:top w:w="80" w:type="dxa"/>
              <w:start w:w="120" w:type="dxa"/>
              <w:bottom w:w="80" w:type="dxa"/>
              <w:end w:w="120" w:type="dxa"/>
            </w:tcMar>
          </w:tcPr>
          <w:p>
            <w:r/>
            <w:r>
              <w:rPr>
                <w:rFonts w:ascii="Arial" w:hAnsi="Arial" w:cs="Arial"/>
                <w:b/>
                <w:i w:val="0"/>
                <w:color w:val="142436"/>
                <w:sz w:val="16"/>
              </w:rPr>
              <w:t>6 000 ₽</w:t>
            </w:r>
          </w:p>
        </w:tc>
        <w:tc>
          <w:tcPr>
            <w:tcW w:type="dxa" w:w="1820"/>
            <w:shd w:fill="F5F8FB"/>
            <w:vAlign w:val="center"/>
            <w:tcMar>
              <w:top w:w="80" w:type="dxa"/>
              <w:start w:w="120" w:type="dxa"/>
              <w:bottom w:w="80" w:type="dxa"/>
              <w:end w:w="120" w:type="dxa"/>
            </w:tcMar>
          </w:tcPr>
          <w:p>
            <w:r/>
            <w:r>
              <w:rPr>
                <w:rFonts w:ascii="Arial" w:hAnsi="Arial" w:cs="Arial"/>
                <w:b/>
                <w:i w:val="0"/>
                <w:color w:val="142436"/>
                <w:sz w:val="16"/>
              </w:rPr>
              <w:t>32 400 ₽</w:t>
            </w:r>
          </w:p>
        </w:tc>
        <w:tc>
          <w:tcPr>
            <w:tcW w:type="dxa" w:w="1820"/>
            <w:shd w:fill="F5F8FB"/>
            <w:vAlign w:val="center"/>
            <w:tcMar>
              <w:top w:w="80" w:type="dxa"/>
              <w:start w:w="120" w:type="dxa"/>
              <w:bottom w:w="80" w:type="dxa"/>
              <w:end w:w="120" w:type="dxa"/>
            </w:tcMar>
          </w:tcPr>
          <w:p>
            <w:r/>
            <w:r>
              <w:rPr>
                <w:rFonts w:ascii="Arial" w:hAnsi="Arial" w:cs="Arial"/>
                <w:b/>
                <w:i w:val="0"/>
                <w:color w:val="142436"/>
                <w:sz w:val="16"/>
              </w:rPr>
              <w:t>54 000 ₽</w:t>
            </w:r>
          </w:p>
        </w:tc>
      </w:tr>
      <w:tr>
        <w:tc>
          <w:tcPr>
            <w:tcW w:type="dxa" w:w="3900"/>
            <w:vAlign w:val="center"/>
            <w:tcMar>
              <w:top w:w="80" w:type="dxa"/>
              <w:start w:w="120" w:type="dxa"/>
              <w:bottom w:w="80" w:type="dxa"/>
              <w:end w:w="120" w:type="dxa"/>
            </w:tcMar>
          </w:tcPr>
          <w:p>
            <w:r/>
            <w:r>
              <w:rPr>
                <w:rFonts w:ascii="Arial" w:hAnsi="Arial" w:cs="Arial"/>
                <w:b w:val="0"/>
                <w:i w:val="0"/>
                <w:color w:val="142436"/>
                <w:sz w:val="16"/>
              </w:rPr>
              <w:t>Каждый следующий кабинет</w:t>
            </w:r>
          </w:p>
        </w:tc>
        <w:tc>
          <w:tcPr>
            <w:tcW w:type="dxa" w:w="1820"/>
            <w:vAlign w:val="center"/>
            <w:tcMar>
              <w:top w:w="80" w:type="dxa"/>
              <w:start w:w="120" w:type="dxa"/>
              <w:bottom w:w="80" w:type="dxa"/>
              <w:end w:w="120" w:type="dxa"/>
            </w:tcMar>
          </w:tcPr>
          <w:p>
            <w:r/>
            <w:r>
              <w:rPr>
                <w:rFonts w:ascii="Arial" w:hAnsi="Arial" w:cs="Arial"/>
                <w:b/>
                <w:i w:val="0"/>
                <w:color w:val="142436"/>
                <w:sz w:val="16"/>
              </w:rPr>
              <w:t>+750 ₽</w:t>
            </w:r>
          </w:p>
        </w:tc>
        <w:tc>
          <w:tcPr>
            <w:tcW w:type="dxa" w:w="1820"/>
            <w:vAlign w:val="center"/>
            <w:tcMar>
              <w:top w:w="80" w:type="dxa"/>
              <w:start w:w="120" w:type="dxa"/>
              <w:bottom w:w="80" w:type="dxa"/>
              <w:end w:w="120" w:type="dxa"/>
            </w:tcMar>
          </w:tcPr>
          <w:p>
            <w:r/>
            <w:r>
              <w:rPr>
                <w:rFonts w:ascii="Arial" w:hAnsi="Arial" w:cs="Arial"/>
                <w:b/>
                <w:i w:val="0"/>
                <w:color w:val="142436"/>
                <w:sz w:val="16"/>
              </w:rPr>
              <w:t>+4 050 ₽</w:t>
            </w:r>
          </w:p>
        </w:tc>
        <w:tc>
          <w:tcPr>
            <w:tcW w:type="dxa" w:w="1820"/>
            <w:vAlign w:val="center"/>
            <w:tcMar>
              <w:top w:w="80" w:type="dxa"/>
              <w:start w:w="120" w:type="dxa"/>
              <w:bottom w:w="80" w:type="dxa"/>
              <w:end w:w="120" w:type="dxa"/>
            </w:tcMar>
          </w:tcPr>
          <w:p>
            <w:r/>
            <w:r>
              <w:rPr>
                <w:rFonts w:ascii="Arial" w:hAnsi="Arial" w:cs="Arial"/>
                <w:b/>
                <w:i w:val="0"/>
                <w:color w:val="142436"/>
                <w:sz w:val="16"/>
              </w:rPr>
              <w:t>+6 750 ₽</w:t>
            </w:r>
          </w:p>
        </w:tc>
      </w:tr>
      <w:tr>
        <w:tc>
          <w:tcPr>
            <w:tcW w:type="dxa" w:w="3900"/>
            <w:shd w:fill="F5F8FB"/>
            <w:vAlign w:val="center"/>
            <w:tcMar>
              <w:top w:w="80" w:type="dxa"/>
              <w:start w:w="120" w:type="dxa"/>
              <w:bottom w:w="80" w:type="dxa"/>
              <w:end w:w="120" w:type="dxa"/>
            </w:tcMar>
          </w:tcPr>
          <w:p>
            <w:r/>
            <w:r>
              <w:rPr>
                <w:rFonts w:ascii="Arial" w:hAnsi="Arial" w:cs="Arial"/>
                <w:b w:val="0"/>
                <w:i w:val="0"/>
                <w:color w:val="142436"/>
                <w:sz w:val="16"/>
              </w:rPr>
              <w:t>Пример: 3 кабинета с базовой комплектацией</w:t>
            </w:r>
          </w:p>
        </w:tc>
        <w:tc>
          <w:tcPr>
            <w:tcW w:type="dxa" w:w="1820"/>
            <w:shd w:fill="F5F8FB"/>
            <w:vAlign w:val="center"/>
            <w:tcMar>
              <w:top w:w="80" w:type="dxa"/>
              <w:start w:w="120" w:type="dxa"/>
              <w:bottom w:w="80" w:type="dxa"/>
              <w:end w:w="120" w:type="dxa"/>
            </w:tcMar>
          </w:tcPr>
          <w:p>
            <w:r/>
            <w:r>
              <w:rPr>
                <w:rFonts w:ascii="Arial" w:hAnsi="Arial" w:cs="Arial"/>
                <w:b/>
                <w:i w:val="0"/>
                <w:color w:val="142436"/>
                <w:sz w:val="16"/>
              </w:rPr>
              <w:t>4 500 ₽</w:t>
            </w:r>
          </w:p>
        </w:tc>
        <w:tc>
          <w:tcPr>
            <w:tcW w:type="dxa" w:w="1820"/>
            <w:shd w:fill="F5F8FB"/>
            <w:vAlign w:val="center"/>
            <w:tcMar>
              <w:top w:w="80" w:type="dxa"/>
              <w:start w:w="120" w:type="dxa"/>
              <w:bottom w:w="80" w:type="dxa"/>
              <w:end w:w="120" w:type="dxa"/>
            </w:tcMar>
          </w:tcPr>
          <w:p>
            <w:r/>
            <w:r>
              <w:rPr>
                <w:rFonts w:ascii="Arial" w:hAnsi="Arial" w:cs="Arial"/>
                <w:b/>
                <w:i w:val="0"/>
                <w:color w:val="142436"/>
                <w:sz w:val="16"/>
              </w:rPr>
              <w:t>24 300 ₽</w:t>
            </w:r>
          </w:p>
        </w:tc>
        <w:tc>
          <w:tcPr>
            <w:tcW w:type="dxa" w:w="1820"/>
            <w:shd w:fill="F5F8FB"/>
            <w:vAlign w:val="center"/>
            <w:tcMar>
              <w:top w:w="80" w:type="dxa"/>
              <w:start w:w="120" w:type="dxa"/>
              <w:bottom w:w="80" w:type="dxa"/>
              <w:end w:w="120" w:type="dxa"/>
            </w:tcMar>
          </w:tcPr>
          <w:p>
            <w:r/>
            <w:r>
              <w:rPr>
                <w:rFonts w:ascii="Arial" w:hAnsi="Arial" w:cs="Arial"/>
                <w:b/>
                <w:i w:val="0"/>
                <w:color w:val="142436"/>
                <w:sz w:val="16"/>
              </w:rPr>
              <w:t>40 500 ₽</w:t>
            </w:r>
          </w:p>
        </w:tc>
      </w:tr>
    </w:tbl>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80" w:type="dxa"/>
              <w:start w:w="120" w:type="dxa"/>
              <w:bottom w:w="80" w:type="dxa"/>
              <w:end w:w="120" w:type="dxa"/>
            </w:tcMar>
            <w:shd w:fill="F2F4F7"/>
          </w:tcPr>
          <w:p>
            <w:pPr>
              <w:spacing w:after="0"/>
            </w:pPr>
            <w:r/>
            <w:r>
              <w:rPr>
                <w:rFonts w:ascii="Arial" w:hAnsi="Arial" w:cs="Arial"/>
                <w:b w:val="0"/>
                <w:i/>
                <w:color w:val="595959"/>
                <w:sz w:val="17"/>
              </w:rPr>
              <w:t>Регистрация и заполнение профиля бесплатны. После первой подтверждённой брони на первый оплачиваемый период применяется разовая скидка 50 % от полной стоимости одного месяца текущего тарифа, включая подключённые кабинеты и оборудование. При выборе 6 или 12 месяцев скидка уменьшает общий счёт только на эту сумму и не заменяет скидку за срок: например, базовый тариф стоит 1 500 ₽ за 1 месяц, 14 700 ₽ за 6 месяцев или 25 500 ₽ за 12 месяцев. Скидка не применяется к неподтверждённой или отменённой брони, не выдаётся деньгами и не применяется повторно.</w:t>
            </w:r>
          </w:p>
        </w:tc>
      </w:tr>
    </w:tbl>
    <w:p>
      <w:pPr>
        <w:spacing w:line="220" w:lineRule="exact" w:after="20"/>
      </w:pPr>
      <w:r>
        <w:rPr>
          <w:rFonts w:ascii="Arial" w:hAnsi="Arial" w:cs="Arial"/>
          <w:b w:val="0"/>
          <w:i w:val="0"/>
          <w:color w:val="595959"/>
          <w:sz w:val="4"/>
        </w:rPr>
        <w:t xml:space="preserve"> </w:t>
      </w:r>
    </w:p>
    <w:p>
      <w:pPr>
        <w:spacing w:after="80" w:line="245" w:lineRule="auto"/>
      </w:pPr>
      <w:r>
        <w:rPr>
          <w:rFonts w:ascii="Arial" w:hAnsi="Arial" w:cs="Arial"/>
          <w:b w:val="0"/>
          <w:i w:val="0"/>
          <w:color w:val="142436"/>
          <w:sz w:val="19"/>
        </w:rPr>
        <w:t>Цены указаны в рублях за полный расчётный период. Цена на 6 месяцев включает скидку 10 %, на 12 месяцев — 25 % относительно помесячной оплаты. НДС не облагается в связи с применением Исполнителем освобождения от исполнения обязанностей налогоплательщика НДС. При изменении налогового статуса Исполнитель публикует новую редакцию для будущих периодов; цена уже оплаченного периода не увеличивается.</w:t>
      </w:r>
    </w:p>
    <w:p>
      <w:pPr>
        <w:spacing w:after="80" w:line="245" w:lineRule="auto"/>
      </w:pPr>
      <w:r>
        <w:rPr>
          <w:rFonts w:ascii="Arial" w:hAnsi="Arial" w:cs="Arial"/>
          <w:b w:val="0"/>
          <w:i w:val="0"/>
          <w:color w:val="142436"/>
          <w:sz w:val="19"/>
        </w:rPr>
        <w:t>Регистрация, заполнение профиля и просмотр доступных объектов бесплатны и сами по себе не создают оплаченный период. Разовая скидка за первую подтверждённую бронь доступна только если до этого Пользователь не оплатил подписку. Сервис проверяет статус брони и право на скидку перед показом цены, фиксирует сумму скидки в расчёте и не применяет её задним числом к уже оплаченному периоду.</w:t>
      </w:r>
    </w:p>
    <w:p>
      <w:pPr>
        <w:spacing w:after="80" w:line="245" w:lineRule="auto"/>
      </w:pPr>
      <w:r>
        <w:rPr>
          <w:rFonts w:ascii="Arial" w:hAnsi="Arial" w:cs="Arial"/>
          <w:b w:val="0"/>
          <w:i w:val="0"/>
          <w:color w:val="142436"/>
          <w:sz w:val="19"/>
        </w:rPr>
        <w:t>До оплаты интерфейс повторно показывает состав функций, тарифный сценарий, период, цену и дату следующего списания. Платёжный документ фиксирует цену конкретного периода. Автопродление выключено по умолчанию; оно возникает только после отдельного, не предустановленного выбора Пользователя. Согласие на рекуррентные списания фиксируется отдельно от принятия Оферты. Изменение цены, состава функций или существенных тарифных условий на будущий период требует нового подтверждения.</w:t>
      </w:r>
    </w:p>
    <w:p>
      <w:r>
        <w:br w:type="page"/>
      </w:r>
    </w:p>
    <w:p>
      <w:pPr>
        <w:spacing w:before="140" w:after="80"/>
      </w:pPr>
      <w:r>
        <w:rPr>
          <w:rFonts w:ascii="Arial" w:hAnsi="Arial" w:cs="Arial"/>
          <w:b/>
          <w:i w:val="0"/>
          <w:color w:val="1F4D78"/>
          <w:sz w:val="24"/>
        </w:rPr>
        <w:t>5. Отмена, возврат и приостановление</w:t>
      </w:r>
    </w:p>
    <w:p>
      <w:pPr>
        <w:spacing w:after="80" w:line="245" w:lineRule="auto"/>
      </w:pPr>
      <w:r>
        <w:rPr>
          <w:rFonts w:ascii="Arial" w:hAnsi="Arial" w:cs="Arial"/>
          <w:b w:val="0"/>
          <w:i w:val="0"/>
          <w:color w:val="142436"/>
          <w:sz w:val="19"/>
        </w:rPr>
        <w:t>До начала оплаченного периода Пользователь может отказаться от подписки с полным возвратом. После начала месячного периода добровольный возврат за этот период не производится, а доступ сохраняется до его окончания. При досрочном отказе от периода 6 или 12 месяцев стоимость фактически предоставленных полных месяцев определяется по опубликованной месячной цене соответствующего тарифного сценария; остаток возвращается после проверки платежа и получения реквизитов. Ошибочное списание, повторная оплата и отсутствие оплаченного доступа рассматриваются по обращению.</w:t>
      </w:r>
    </w:p>
    <w:p>
      <w:pPr>
        <w:spacing w:after="80" w:line="245" w:lineRule="auto"/>
      </w:pPr>
      <w:r>
        <w:rPr>
          <w:rFonts w:ascii="Arial" w:hAnsi="Arial" w:cs="Arial"/>
          <w:b w:val="0"/>
          <w:i w:val="0"/>
          <w:color w:val="142436"/>
          <w:sz w:val="19"/>
        </w:rPr>
        <w:t>Исполнитель может временно ограничить доступ к отдельной функции, если это необходимо для безопасности, устранения сбоя, исполнения закона, защиты прав третьих лиц или прекращения существенного нарушения. До полной блокировки по возможности направляется уведомление; срочная мера безопасности может быть применена немедленно. Приостановление не освобождает Пользователя от обязанности оплатить уже начавшийся период, кроме случая, когда доступ не предоставлен по вине Исполнителя.</w:t>
      </w:r>
    </w:p>
    <w:p>
      <w:pPr>
        <w:spacing w:before="140" w:after="80"/>
      </w:pPr>
      <w:r>
        <w:rPr>
          <w:rFonts w:ascii="Arial" w:hAnsi="Arial" w:cs="Arial"/>
          <w:b/>
          <w:i w:val="0"/>
          <w:color w:val="1F4D78"/>
          <w:sz w:val="24"/>
        </w:rPr>
        <w:t>6. Контент, права и прямые отношения</w:t>
      </w:r>
    </w:p>
    <w:p>
      <w:pPr>
        <w:spacing w:after="80" w:line="245" w:lineRule="auto"/>
      </w:pPr>
      <w:r>
        <w:rPr>
          <w:rFonts w:ascii="Arial" w:hAnsi="Arial" w:cs="Arial"/>
          <w:b w:val="0"/>
          <w:i w:val="0"/>
          <w:color w:val="142436"/>
          <w:sz w:val="19"/>
        </w:rPr>
        <w:t>Пользователь сохраняет права на свой контент и предоставляет Исполнителю ограниченное право технически хранить, воспроизводить и показывать его исключительно для работы Сервиса и в объёме выбранных настроек публикации. Пользователь гарантирует достоверность контента, наличие оснований для обработки и публикации данных, отсутствие нарушения чужих прав и запрета на вводящий в заблуждение контент.</w:t>
      </w:r>
    </w:p>
    <w:p>
      <w:pPr>
        <w:spacing w:after="80" w:line="245" w:lineRule="auto"/>
      </w:pPr>
      <w:r>
        <w:rPr>
          <w:rFonts w:ascii="Arial" w:hAnsi="Arial" w:cs="Arial"/>
          <w:b w:val="0"/>
          <w:i w:val="0"/>
          <w:color w:val="142436"/>
          <w:sz w:val="19"/>
        </w:rPr>
        <w:t>Публичный профиль не является рекомендацией, проверкой квалификации или гарантией результата со стороны Исполнителя. Специалист самостоятельно определяет возможность эстетической услуги, объясняет её клиенту до начала и несёт ответственность за прямые отношения с клиентом. Владелец самостоятельно отвечает за объект, доступ, оборудование и опубликованные условия. Претензии по объекту, услуге, залогу и прямому расчёту адресуются соответствующей Прямой стороне.</w:t>
      </w:r>
    </w:p>
    <w:p>
      <w:pPr>
        <w:spacing w:before="140" w:after="80"/>
      </w:pPr>
      <w:r>
        <w:rPr>
          <w:rFonts w:ascii="Arial" w:hAnsi="Arial" w:cs="Arial"/>
          <w:b/>
          <w:i w:val="0"/>
          <w:color w:val="1F4D78"/>
          <w:sz w:val="24"/>
        </w:rPr>
        <w:t>7. Ответственность Исполнителя</w:t>
      </w:r>
    </w:p>
    <w:p>
      <w:pPr>
        <w:spacing w:after="80" w:line="245" w:lineRule="auto"/>
      </w:pPr>
      <w:r>
        <w:rPr>
          <w:rFonts w:ascii="Arial" w:hAnsi="Arial" w:cs="Arial"/>
          <w:b w:val="0"/>
          <w:i w:val="0"/>
          <w:color w:val="142436"/>
          <w:sz w:val="19"/>
        </w:rPr>
        <w:t>Исполнитель отвечает только за реальный документально подтверждённый ущерб, причинённый виновным неисполнением собственных обязательств по договору, и в пределах, допускаемых законодательством Российской Федерации. Исполнитель не отвечает за упущенную выгоду, косвенные потери, решения Прямых сторон, доступность сторонних сервисов, действия банков, операторов связи, владельцев объектов, специалистов, клиентов или подрядчиков, привлечённых Пользователем.</w:t>
      </w:r>
    </w:p>
    <w:p>
      <w:pPr>
        <w:spacing w:after="80" w:line="245" w:lineRule="auto"/>
      </w:pPr>
      <w:r>
        <w:rPr>
          <w:rFonts w:ascii="Arial" w:hAnsi="Arial" w:cs="Arial"/>
          <w:b w:val="0"/>
          <w:i w:val="0"/>
          <w:color w:val="142436"/>
          <w:sz w:val="19"/>
        </w:rPr>
        <w:t>Совокупная ответственность Исполнителя по одному событию ограничивается суммой, фактически уплаченной Пользователем за расчётный период, в котором произошло событие. Ограничение не применяется в части, в которой его применение прямо запрещено законом, и не освобождает сторону от ответственности за умышленные нарушения. Обстоятельства непреодолимой силы освобождают сторону от ответственности на период их действия при своевременном уведомлении другой стороны.</w:t>
      </w:r>
    </w:p>
    <w:p>
      <w:pPr>
        <w:spacing w:before="140" w:after="80"/>
      </w:pPr>
      <w:r>
        <w:rPr>
          <w:rFonts w:ascii="Arial" w:hAnsi="Arial" w:cs="Arial"/>
          <w:b/>
          <w:i w:val="0"/>
          <w:color w:val="1F4D78"/>
          <w:sz w:val="24"/>
        </w:rPr>
        <w:t>8. Данные, претензии, право и изменения</w:t>
      </w:r>
    </w:p>
    <w:p>
      <w:pPr>
        <w:spacing w:after="80" w:line="245" w:lineRule="auto"/>
      </w:pPr>
      <w:r>
        <w:rPr>
          <w:rFonts w:ascii="Arial" w:hAnsi="Arial" w:cs="Arial"/>
          <w:b w:val="0"/>
          <w:i w:val="0"/>
          <w:color w:val="142436"/>
          <w:sz w:val="19"/>
        </w:rPr>
        <w:t>Для данных аккаунта Исполнитель действует как оператор в объёме, указанном в Политике обработки ПД. Если Пользователь ведёт CRM клиентов как Специалист, он поручает Исполнителю техническую обработку данных его клиентов исключительно для хранения, отображения, формирования документов, резервного копирования, поддержки и защиты Сервиса, в пределах выбранных функций и его действий в интерфейсе. Исполнитель обеспечивает конфиденциальность и ограниченный доступ; Специалист определяет цели, состав и законное основание такой обработки. Условия бронирования, прямой договор и акт регулируют отношения Прямых сторон и не делают Исполнителя их стороной.</w:t>
      </w:r>
    </w:p>
    <w:p>
      <w:pPr>
        <w:spacing w:after="80" w:line="245" w:lineRule="auto"/>
      </w:pPr>
      <w:r>
        <w:rPr>
          <w:rFonts w:ascii="Arial" w:hAnsi="Arial" w:cs="Arial"/>
          <w:b w:val="0"/>
          <w:i w:val="0"/>
          <w:color w:val="142436"/>
          <w:sz w:val="19"/>
        </w:rPr>
        <w:t>Претензия к Исполнителю направляется на test-mail@img-cache.pw с описанием обстоятельств, требованием и идентификатором события при наличии. Исполнитель направляет ответ по существу в течение 24 часов либо в тот же срок сообщает обоснованную причину продления и срок окончательного ответа. Применяется право Российской Федерации; спор до суда стороны пытаются урегулировать претензией. Новая редакция применяется к будущим действиям после публикации и не изменяет условия уже оплаченного периода без отдельного согласия Пользователя.</w:t>
      </w:r>
    </w:p>
    <w:sectPr w:rsidR="00FC693F" w:rsidRPr="0006063C" w:rsidSect="00034616">
      <w:headerReference w:type="default" r:id="rId9"/>
      <w:footerReference w:type="default" r:id="rId10"/>
      <w:pgSz w:w="11906" w:h="16838"/>
      <w:pgMar w:top="737" w:right="992" w:bottom="737" w:left="992"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s="Arial"/>
        <w:b w:val="0"/>
        <w:i w:val="0"/>
        <w:color w:val="595959"/>
        <w:sz w:val="16"/>
      </w:rPr>
      <w:t>ООО «Актив Плюс»  ·  действует с 21.08.2026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s="Arial"/>
        <w:b w:val="0"/>
        <w:i w:val="0"/>
        <w:color w:val="595959"/>
        <w:sz w:val="16"/>
      </w:rPr>
      <w:t>АКТИВ PRO  ·  1.3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color w:val="14243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