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 w:cs="Arial"/>
          <w:b/>
          <w:i w:val="0"/>
          <w:color w:val="1F4D78"/>
          <w:sz w:val="18"/>
        </w:rPr>
        <w:t>КОНСОЛИДИРОВАННАЯ РЕДАКЦИЯ 1.3</w:t>
      </w:r>
    </w:p>
    <w:p>
      <w:pPr>
        <w:spacing w:after="60"/>
        <w:jc w:val="center"/>
      </w:pPr>
      <w:r>
        <w:rPr>
          <w:rFonts w:ascii="Arial" w:hAnsi="Arial" w:cs="Arial"/>
          <w:b/>
          <w:i w:val="0"/>
          <w:color w:val="142436"/>
          <w:sz w:val="31"/>
        </w:rPr>
        <w:t>АКТ ПЕРЕДАЧИ КАБИНЕТА И ОБОРУДОВАНИЯ</w:t>
      </w:r>
    </w:p>
    <w:p>
      <w:pPr>
        <w:spacing w:after="200"/>
        <w:jc w:val="center"/>
      </w:pPr>
      <w:r>
        <w:rPr>
          <w:rFonts w:ascii="Arial" w:hAnsi="Arial" w:cs="Arial"/>
          <w:b w:val="0"/>
          <w:i w:val="0"/>
          <w:color w:val="595959"/>
          <w:sz w:val="19"/>
        </w:rPr>
        <w:t>прямые стороны заполняют только при фактической передаче или возврате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</w:tcPr>
          <w:p>
            <w:pPr>
              <w:spacing w:after="0"/>
            </w:pPr>
            <w:r/>
            <w:r>
              <w:rPr>
                <w:rFonts w:ascii="Arial" w:hAnsi="Arial" w:cs="Arial"/>
                <w:b w:val="0"/>
                <w:i/>
                <w:color w:val="595959"/>
                <w:sz w:val="17"/>
              </w:rPr>
              <w:t>Как читать этот документ: это MVP-редакция правил Active PRO. Платформа автоматически подставляет данные сторон, объекта, услуги, даты и цены; выбор, который зависит от воли пользователя, всегда показывается и подтверждается отдельно.</w:t>
            </w:r>
          </w:p>
        </w:tc>
      </w:tr>
    </w:tbl>
    <w:p>
      <w:pPr>
        <w:spacing w:line="220" w:lineRule="exact" w:after="20"/>
      </w:pPr>
      <w:r>
        <w:rPr>
          <w:rFonts w:ascii="Arial" w:hAnsi="Arial" w:cs="Arial"/>
          <w:b w:val="0"/>
          <w:i w:val="0"/>
          <w:color w:val="595959"/>
          <w:sz w:val="4"/>
        </w:rPr>
        <w:t xml:space="preserve"> </w:t>
      </w:r>
    </w:p>
    <w:p>
      <w:pPr>
        <w:spacing w:line="140" w:lineRule="exact" w:after="20"/>
      </w:pPr>
      <w:r>
        <w:rPr>
          <w:rFonts w:ascii="Arial" w:hAnsi="Arial" w:cs="Arial"/>
          <w:b w:val="0"/>
          <w:i w:val="0"/>
          <w:color w:val="595959"/>
          <w:sz w:val="4"/>
        </w:rPr>
        <w:t xml:space="preserve"> 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E8EEF5"/>
          </w:tcPr>
          <w:p>
            <w:r/>
            <w:r>
              <w:rPr>
                <w:rFonts w:ascii="Arial" w:hAnsi="Arial" w:cs="Arial"/>
                <w:b/>
                <w:i w:val="0"/>
                <w:color w:val="1F4D78"/>
                <w:sz w:val="17"/>
              </w:rPr>
              <w:t>Стороны</w:t>
            </w:r>
          </w:p>
        </w:tc>
        <w:tc>
          <w:tcPr>
            <w:tcW w:type="dxa" w:w="6660"/>
          </w:tcPr>
          <w:p>
            <w:r/>
            <w:r>
              <w:rPr>
                <w:rFonts w:ascii="Arial" w:hAnsi="Arial" w:cs="Arial"/>
                <w:b w:val="0"/>
                <w:i w:val="0"/>
                <w:color w:val="142436"/>
                <w:sz w:val="17"/>
              </w:rPr>
              <w:t>владелец и специалист — из рамочного договора</w:t>
            </w:r>
          </w:p>
        </w:tc>
      </w:tr>
      <w:tr>
        <w:tc>
          <w:tcPr>
            <w:tcW w:type="dxa" w:w="2700"/>
            <w:shd w:fill="E8EEF5"/>
          </w:tcPr>
          <w:p>
            <w:r/>
            <w:r>
              <w:rPr>
                <w:rFonts w:ascii="Arial" w:hAnsi="Arial" w:cs="Arial"/>
                <w:b/>
                <w:i w:val="0"/>
                <w:color w:val="1F4D78"/>
                <w:sz w:val="17"/>
              </w:rPr>
              <w:t>Бронь</w:t>
            </w:r>
          </w:p>
        </w:tc>
        <w:tc>
          <w:tcPr>
            <w:tcW w:type="dxa" w:w="6660"/>
          </w:tcPr>
          <w:p>
            <w:r/>
            <w:r>
              <w:rPr>
                <w:rFonts w:ascii="Arial" w:hAnsi="Arial" w:cs="Arial"/>
                <w:b w:val="0"/>
                <w:i w:val="0"/>
                <w:color w:val="142436"/>
                <w:sz w:val="17"/>
              </w:rPr>
              <w:t>идентификатор, дата, время и объект — из подтверждения</w:t>
            </w:r>
          </w:p>
        </w:tc>
      </w:tr>
      <w:tr>
        <w:tc>
          <w:tcPr>
            <w:tcW w:type="dxa" w:w="2700"/>
            <w:shd w:fill="E8EEF5"/>
          </w:tcPr>
          <w:p>
            <w:r/>
            <w:r>
              <w:rPr>
                <w:rFonts w:ascii="Arial" w:hAnsi="Arial" w:cs="Arial"/>
                <w:b/>
                <w:i w:val="0"/>
                <w:color w:val="1F4D78"/>
                <w:sz w:val="17"/>
              </w:rPr>
              <w:t>Вид события</w:t>
            </w:r>
          </w:p>
        </w:tc>
        <w:tc>
          <w:tcPr>
            <w:tcW w:type="dxa" w:w="6660"/>
          </w:tcPr>
          <w:p>
            <w:r/>
            <w:r>
              <w:rPr>
                <w:rFonts w:ascii="Arial" w:hAnsi="Arial" w:cs="Arial"/>
                <w:b w:val="0"/>
                <w:i w:val="0"/>
                <w:color w:val="142436"/>
                <w:sz w:val="17"/>
              </w:rPr>
              <w:t>□ передача  □ возврат  □ осмотр после инцидента</w:t>
            </w:r>
          </w:p>
        </w:tc>
      </w:tr>
      <w:tr>
        <w:tc>
          <w:tcPr>
            <w:tcW w:type="dxa" w:w="2700"/>
            <w:shd w:fill="E8EEF5"/>
          </w:tcPr>
          <w:p>
            <w:r/>
            <w:r>
              <w:rPr>
                <w:rFonts w:ascii="Arial" w:hAnsi="Arial" w:cs="Arial"/>
                <w:b/>
                <w:i w:val="0"/>
                <w:color w:val="1F4D78"/>
                <w:sz w:val="17"/>
              </w:rPr>
              <w:t>Время</w:t>
            </w:r>
          </w:p>
        </w:tc>
        <w:tc>
          <w:tcPr>
            <w:tcW w:type="dxa" w:w="6660"/>
          </w:tcPr>
          <w:p>
            <w:r/>
            <w:r>
              <w:rPr>
                <w:rFonts w:ascii="Arial" w:hAnsi="Arial" w:cs="Arial"/>
                <w:b w:val="0"/>
                <w:i w:val="0"/>
                <w:color w:val="142436"/>
                <w:sz w:val="17"/>
              </w:rPr>
              <w:t>подставляется платформой и при необходимости уточняется сторонами</w:t>
            </w:r>
          </w:p>
        </w:tc>
      </w:tr>
    </w:tbl>
    <w:p>
      <w:pPr>
        <w:spacing w:before="140" w:after="80"/>
      </w:pPr>
      <w:r>
        <w:rPr>
          <w:rFonts w:ascii="Arial" w:hAnsi="Arial" w:cs="Arial"/>
          <w:b/>
          <w:i w:val="0"/>
          <w:color w:val="1F4D78"/>
          <w:sz w:val="24"/>
        </w:rPr>
        <w:t>1. Назначение и состояние</w:t>
      </w:r>
    </w:p>
    <w:p>
      <w:pPr>
        <w:spacing w:after="8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Акт фиксирует фактическое состояние кабинета, доступов, оборудования и комплектации на момент передачи, возврата или осмотра. Он является приложением к конкретной брони и прямому договору, но не изменяет их цену, срок или порядок расчёта, если стороны прямо не согласовали это отдельным подтверждением.</w:t>
      </w:r>
    </w:p>
    <w:p>
      <w:pPr>
        <w:spacing w:after="8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Каждая сторона самостоятельно проверяет доступные ей сведения до подтверждения, вправе внести замечание, приложить фото или ссылку на материал. Неподписание акта или отсутствие замечания не означает автоматически отсутствия или наличия повреждения; обстоятельства оцениваются по совокупности доказательств.</w:t>
      </w:r>
    </w:p>
    <w:p>
      <w:pPr>
        <w:spacing w:line="140" w:lineRule="exact" w:after="20"/>
      </w:pPr>
      <w:r>
        <w:rPr>
          <w:rFonts w:ascii="Arial" w:hAnsi="Arial" w:cs="Arial"/>
          <w:b w:val="0"/>
          <w:i w:val="0"/>
          <w:color w:val="595959"/>
          <w:sz w:val="4"/>
        </w:rPr>
        <w:t xml:space="preserve"> 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E8EEF5"/>
          </w:tcPr>
          <w:p>
            <w:r/>
            <w:r>
              <w:rPr>
                <w:rFonts w:ascii="Arial" w:hAnsi="Arial" w:cs="Arial"/>
                <w:b/>
                <w:i w:val="0"/>
                <w:color w:val="1F4D78"/>
                <w:sz w:val="17"/>
              </w:rPr>
              <w:t>Кабинет</w:t>
            </w:r>
          </w:p>
        </w:tc>
        <w:tc>
          <w:tcPr>
            <w:tcW w:type="dxa" w:w="6660"/>
          </w:tcPr>
          <w:p>
            <w:r/>
            <w:r>
              <w:rPr>
                <w:rFonts w:ascii="Arial" w:hAnsi="Arial" w:cs="Arial"/>
                <w:b w:val="0"/>
                <w:i w:val="0"/>
                <w:color w:val="142436"/>
                <w:sz w:val="17"/>
              </w:rPr>
              <w:t>состояние / замечания / фото при наличии</w:t>
            </w:r>
          </w:p>
        </w:tc>
      </w:tr>
      <w:tr>
        <w:tc>
          <w:tcPr>
            <w:tcW w:type="dxa" w:w="2700"/>
            <w:shd w:fill="E8EEF5"/>
          </w:tcPr>
          <w:p>
            <w:r/>
            <w:r>
              <w:rPr>
                <w:rFonts w:ascii="Arial" w:hAnsi="Arial" w:cs="Arial"/>
                <w:b/>
                <w:i w:val="0"/>
                <w:color w:val="1F4D78"/>
                <w:sz w:val="17"/>
              </w:rPr>
              <w:t>Оборудование</w:t>
            </w:r>
          </w:p>
        </w:tc>
        <w:tc>
          <w:tcPr>
            <w:tcW w:type="dxa" w:w="6660"/>
          </w:tcPr>
          <w:p>
            <w:r/>
            <w:r>
              <w:rPr>
                <w:rFonts w:ascii="Arial" w:hAnsi="Arial" w:cs="Arial"/>
                <w:b w:val="0"/>
                <w:i w:val="0"/>
                <w:color w:val="142436"/>
                <w:sz w:val="17"/>
              </w:rPr>
              <w:t>наименование, серийный номер при наличии, состояние и комплектация</w:t>
            </w:r>
          </w:p>
        </w:tc>
      </w:tr>
      <w:tr>
        <w:tc>
          <w:tcPr>
            <w:tcW w:type="dxa" w:w="2700"/>
            <w:shd w:fill="E8EEF5"/>
          </w:tcPr>
          <w:p>
            <w:r/>
            <w:r>
              <w:rPr>
                <w:rFonts w:ascii="Arial" w:hAnsi="Arial" w:cs="Arial"/>
                <w:b/>
                <w:i w:val="0"/>
                <w:color w:val="1F4D78"/>
                <w:sz w:val="17"/>
              </w:rPr>
              <w:t>Инцидент</w:t>
            </w:r>
          </w:p>
        </w:tc>
        <w:tc>
          <w:tcPr>
            <w:tcW w:type="dxa" w:w="6660"/>
          </w:tcPr>
          <w:p>
            <w:r/>
            <w:r>
              <w:rPr>
                <w:rFonts w:ascii="Arial" w:hAnsi="Arial" w:cs="Arial"/>
                <w:b w:val="0"/>
                <w:i w:val="0"/>
                <w:color w:val="142436"/>
                <w:sz w:val="17"/>
              </w:rPr>
              <w:t>□ нет  □ есть; краткое описание и дальнейший порядок</w:t>
            </w:r>
          </w:p>
        </w:tc>
      </w:tr>
      <w:tr>
        <w:tc>
          <w:tcPr>
            <w:tcW w:type="dxa" w:w="2700"/>
            <w:shd w:fill="E8EEF5"/>
          </w:tcPr>
          <w:p>
            <w:r/>
            <w:r>
              <w:rPr>
                <w:rFonts w:ascii="Arial" w:hAnsi="Arial" w:cs="Arial"/>
                <w:b/>
                <w:i w:val="0"/>
                <w:color w:val="1F4D78"/>
                <w:sz w:val="17"/>
              </w:rPr>
              <w:t>Залог</w:t>
            </w:r>
          </w:p>
        </w:tc>
        <w:tc>
          <w:tcPr>
            <w:tcW w:type="dxa" w:w="6660"/>
          </w:tcPr>
          <w:p>
            <w:r/>
            <w:r>
              <w:rPr>
                <w:rFonts w:ascii="Arial" w:hAnsi="Arial" w:cs="Arial"/>
                <w:b w:val="0"/>
                <w:i w:val="0"/>
                <w:color w:val="142436"/>
                <w:sz w:val="17"/>
              </w:rPr>
              <w:t>□ не применялся  □ решение сторон указано отдельно</w:t>
            </w:r>
          </w:p>
        </w:tc>
      </w:tr>
    </w:tbl>
    <w:p>
      <w:pPr>
        <w:spacing w:before="140" w:after="80"/>
      </w:pPr>
      <w:r>
        <w:rPr>
          <w:rFonts w:ascii="Arial" w:hAnsi="Arial" w:cs="Arial"/>
          <w:b/>
          <w:i w:val="0"/>
          <w:color w:val="1F4D78"/>
          <w:sz w:val="24"/>
        </w:rPr>
        <w:t>2. Инцидент, залог и подтверждение</w:t>
      </w:r>
    </w:p>
    <w:p>
      <w:pPr>
        <w:spacing w:after="8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При инциденте стороны указывают дату, время, описание, принятые меры и доступные доказательства. Указание инцидента в акте не признаёт автоматически вину, размер ущерба или право удержать залог. Эти вопросы решаются Владельцем и Специалистом по прямому договору, их соглашению либо закону.</w:t>
      </w:r>
    </w:p>
    <w:p>
      <w:pPr>
        <w:spacing w:after="8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Акт подтверждается Владельцем и Специалистом отдельно. Active PRO сохраняет версию, PDF, время и технический журнал как доказательство электронного действия, но не проводит экспертизу состояния и не выносит решение о компенсации. Спор по объекту, залогу или ущербу стороны направляют друг другу напрямую.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37" w:right="992" w:bottom="737" w:left="992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/>
        <w:b w:val="0"/>
        <w:i w:val="0"/>
        <w:color w:val="595959"/>
        <w:sz w:val="16"/>
      </w:rPr>
      <w:t>ООО «Актив Плюс»  ·  действует с 21.08.2026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cs="Arial"/>
        <w:b w:val="0"/>
        <w:i w:val="0"/>
        <w:color w:val="595959"/>
        <w:sz w:val="16"/>
      </w:rPr>
      <w:t>АКТИВ PRO  ·  1.3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color w:val="142436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