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Arial" w:hAnsi="Arial" w:cs="Arial"/>
          <w:b/>
          <w:i w:val="0"/>
          <w:color w:val="1F4D78"/>
          <w:sz w:val="18"/>
        </w:rPr>
        <w:t>КОНСОЛИДИРОВАННАЯ РЕДАКЦИЯ 1.3</w:t>
      </w:r>
    </w:p>
    <w:p>
      <w:pPr>
        <w:spacing w:after="60"/>
        <w:jc w:val="center"/>
      </w:pPr>
      <w:r>
        <w:rPr>
          <w:rFonts w:ascii="Arial" w:hAnsi="Arial" w:cs="Arial"/>
          <w:b/>
          <w:i w:val="0"/>
          <w:color w:val="142436"/>
          <w:sz w:val="31"/>
        </w:rPr>
        <w:t>РАМОЧНЫЙ ДОГОВОР ПОЛЬЗОВАНИЯ КАБИНЕТОМ И ОБОРУДОВАНИЕМ</w:t>
      </w:r>
    </w:p>
    <w:p>
      <w:pPr>
        <w:spacing w:after="200"/>
        <w:jc w:val="center"/>
      </w:pPr>
      <w:r>
        <w:rPr>
          <w:rFonts w:ascii="Arial" w:hAnsi="Arial" w:cs="Arial"/>
          <w:b w:val="0"/>
          <w:i w:val="0"/>
          <w:color w:val="595959"/>
          <w:sz w:val="19"/>
        </w:rPr>
        <w:t>прямой договор владельца и специалиста; заполняется платформой</w:t>
      </w:r>
    </w:p>
    <w:tbl>
      <w:tblPr>
        <w:tblW w:type="dxa" w:w="9360"/>
        <w:jc w:val="left"/>
        <w:tblLayout w:type="fixed"/>
        <w:tblLook w:firstColumn="1" w:firstRow="1" w:lastColumn="0" w:lastRow="0" w:noHBand="0" w:noVBand="1" w:val="04A0"/>
        <w:tblInd w:w="120" w:type="dxa"/>
      </w:tblPr>
      <w:tblGrid>
        <w:gridCol w:w="9360"/>
      </w:tblGrid>
      <w:tr>
        <w:tc>
          <w:tcPr>
            <w:tcW w:type="dxa" w:w="9360"/>
            <w:vAlign w:val="center"/>
            <w:tcMar>
              <w:top w:w="80" w:type="dxa"/>
              <w:start w:w="120" w:type="dxa"/>
              <w:bottom w:w="80" w:type="dxa"/>
              <w:end w:w="120" w:type="dxa"/>
            </w:tcMar>
            <w:shd w:fill="F2F4F7"/>
          </w:tcPr>
          <w:p>
            <w:pPr>
              <w:spacing w:after="0"/>
            </w:pPr>
            <w:r/>
            <w:r>
              <w:rPr>
                <w:rFonts w:ascii="Arial" w:hAnsi="Arial" w:cs="Arial"/>
                <w:b w:val="0"/>
                <w:i/>
                <w:color w:val="595959"/>
                <w:sz w:val="17"/>
              </w:rPr>
              <w:t>Как читать этот документ: это MVP-редакция правил Active PRO. Платформа автоматически подставляет данные сторон, объекта, услуги, даты и цены; выбор, который зависит от воли пользователя, всегда показывается и подтверждается отдельно.</w:t>
            </w:r>
          </w:p>
        </w:tc>
      </w:tr>
    </w:tbl>
    <w:p>
      <w:pPr>
        <w:spacing w:line="220" w:lineRule="exact" w:after="20"/>
      </w:pPr>
      <w:r>
        <w:rPr>
          <w:rFonts w:ascii="Arial" w:hAnsi="Arial" w:cs="Arial"/>
          <w:b w:val="0"/>
          <w:i w:val="0"/>
          <w:color w:val="595959"/>
          <w:sz w:val="4"/>
        </w:rPr>
        <w:t xml:space="preserve"> </w:t>
      </w:r>
    </w:p>
    <w:p>
      <w:pPr>
        <w:spacing w:line="140" w:lineRule="exact" w:after="20"/>
      </w:pPr>
      <w:r>
        <w:rPr>
          <w:rFonts w:ascii="Arial" w:hAnsi="Arial" w:cs="Arial"/>
          <w:b w:val="0"/>
          <w:i w:val="0"/>
          <w:color w:val="595959"/>
          <w:sz w:val="4"/>
        </w:rPr>
        <w:t xml:space="preserve"> </w:t>
      </w:r>
    </w:p>
    <w:tbl>
      <w:tblPr>
        <w:tblW w:type="dxa" w:w="9360"/>
        <w:jc w:val="left"/>
        <w:tblLayout w:type="fixed"/>
        <w:tblLook w:firstColumn="1" w:firstRow="1" w:lastColumn="0" w:lastRow="0" w:noHBand="0" w:noVBand="1" w:val="04A0"/>
        <w:tblInd w:w="120" w:type="dxa"/>
      </w:tblPr>
      <w:tblGrid>
        <w:gridCol w:w="2700"/>
        <w:gridCol w:w="6660"/>
      </w:tblGrid>
      <w:tr>
        <w:tc>
          <w:tcPr>
            <w:tcW w:type="dxa" w:w="2700"/>
            <w:shd w:fill="E8EEF5"/>
          </w:tcPr>
          <w:p>
            <w:r/>
            <w:r>
              <w:rPr>
                <w:rFonts w:ascii="Arial" w:hAnsi="Arial" w:cs="Arial"/>
                <w:b/>
                <w:i w:val="0"/>
                <w:color w:val="1F4D78"/>
                <w:sz w:val="17"/>
              </w:rPr>
              <w:t>Владелец</w:t>
            </w:r>
          </w:p>
        </w:tc>
        <w:tc>
          <w:tcPr>
            <w:tcW w:type="dxa" w:w="6660"/>
          </w:tcPr>
          <w:p>
            <w:r/>
            <w:r>
              <w:rPr>
                <w:rFonts w:ascii="Arial" w:hAnsi="Arial" w:cs="Arial"/>
                <w:b w:val="0"/>
                <w:i w:val="0"/>
                <w:color w:val="142436"/>
                <w:sz w:val="17"/>
              </w:rPr>
              <w:t>ФИО/наименование, ИНН, адрес и контакты — из профиля</w:t>
            </w:r>
          </w:p>
        </w:tc>
      </w:tr>
      <w:tr>
        <w:tc>
          <w:tcPr>
            <w:tcW w:type="dxa" w:w="2700"/>
            <w:shd w:fill="E8EEF5"/>
          </w:tcPr>
          <w:p>
            <w:r/>
            <w:r>
              <w:rPr>
                <w:rFonts w:ascii="Arial" w:hAnsi="Arial" w:cs="Arial"/>
                <w:b/>
                <w:i w:val="0"/>
                <w:color w:val="1F4D78"/>
                <w:sz w:val="17"/>
              </w:rPr>
              <w:t>Специалист</w:t>
            </w:r>
          </w:p>
        </w:tc>
        <w:tc>
          <w:tcPr>
            <w:tcW w:type="dxa" w:w="6660"/>
          </w:tcPr>
          <w:p>
            <w:r/>
            <w:r>
              <w:rPr>
                <w:rFonts w:ascii="Arial" w:hAnsi="Arial" w:cs="Arial"/>
                <w:b w:val="0"/>
                <w:i w:val="0"/>
                <w:color w:val="142436"/>
                <w:sz w:val="17"/>
              </w:rPr>
              <w:t>ФИО/наименование, ИНН, адрес и контакты — из профиля</w:t>
            </w:r>
          </w:p>
        </w:tc>
      </w:tr>
      <w:tr>
        <w:tc>
          <w:tcPr>
            <w:tcW w:type="dxa" w:w="2700"/>
            <w:shd w:fill="E8EEF5"/>
          </w:tcPr>
          <w:p>
            <w:r/>
            <w:r>
              <w:rPr>
                <w:rFonts w:ascii="Arial" w:hAnsi="Arial" w:cs="Arial"/>
                <w:b/>
                <w:i w:val="0"/>
                <w:color w:val="1F4D78"/>
                <w:sz w:val="17"/>
              </w:rPr>
              <w:t>Объект</w:t>
            </w:r>
          </w:p>
        </w:tc>
        <w:tc>
          <w:tcPr>
            <w:tcW w:type="dxa" w:w="6660"/>
          </w:tcPr>
          <w:p>
            <w:r/>
            <w:r>
              <w:rPr>
                <w:rFonts w:ascii="Arial" w:hAnsi="Arial" w:cs="Arial"/>
                <w:b w:val="0"/>
                <w:i w:val="0"/>
                <w:color w:val="142436"/>
                <w:sz w:val="17"/>
              </w:rPr>
              <w:t>кабинет, адрес и оборудование — из карточки объекта</w:t>
            </w:r>
          </w:p>
        </w:tc>
      </w:tr>
      <w:tr>
        <w:tc>
          <w:tcPr>
            <w:tcW w:type="dxa" w:w="2700"/>
            <w:shd w:fill="E8EEF5"/>
          </w:tcPr>
          <w:p>
            <w:r/>
            <w:r>
              <w:rPr>
                <w:rFonts w:ascii="Arial" w:hAnsi="Arial" w:cs="Arial"/>
                <w:b/>
                <w:i w:val="0"/>
                <w:color w:val="1F4D78"/>
                <w:sz w:val="17"/>
              </w:rPr>
              <w:t>Подтверждение</w:t>
            </w:r>
          </w:p>
        </w:tc>
        <w:tc>
          <w:tcPr>
            <w:tcW w:type="dxa" w:w="6660"/>
          </w:tcPr>
          <w:p>
            <w:r/>
            <w:r>
              <w:rPr>
                <w:rFonts w:ascii="Arial" w:hAnsi="Arial" w:cs="Arial"/>
                <w:b w:val="0"/>
                <w:i w:val="0"/>
                <w:color w:val="142436"/>
                <w:sz w:val="17"/>
              </w:rPr>
              <w:t>версия, дата, PDF и журнал электронного подтверждения — из платформы</w:t>
            </w:r>
          </w:p>
        </w:tc>
      </w:tr>
    </w:tbl>
    <w:p>
      <w:pPr>
        <w:spacing w:before="140" w:after="80"/>
      </w:pPr>
      <w:r>
        <w:rPr>
          <w:rFonts w:ascii="Arial" w:hAnsi="Arial" w:cs="Arial"/>
          <w:b/>
          <w:i w:val="0"/>
          <w:color w:val="1F4D78"/>
          <w:sz w:val="24"/>
        </w:rPr>
        <w:t>1. Предмет</w:t>
      </w:r>
    </w:p>
    <w:p>
      <w:pPr>
        <w:spacing w:after="80" w:line="245" w:lineRule="auto"/>
      </w:pPr>
      <w:r>
        <w:rPr>
          <w:rFonts w:ascii="Arial" w:hAnsi="Arial" w:cs="Arial"/>
          <w:b w:val="0"/>
          <w:i w:val="0"/>
          <w:color w:val="142436"/>
          <w:sz w:val="19"/>
        </w:rPr>
        <w:t>Владелец предоставляет Специалисту право временно пользоваться указанными кабинетом и оборудованием в интервалы, подтверждённые в брони, а Специалист принимает их для собственной профессиональной деятельности. Каждая бронь является конкретизацией настоящего рамочного договора. Active PRO не является стороной договора и не приобретает по нему права или обязанности Владельца либо Специалиста.</w:t>
      </w:r>
    </w:p>
    <w:p>
      <w:pPr>
        <w:spacing w:before="140" w:after="80"/>
      </w:pPr>
      <w:r>
        <w:rPr>
          <w:rFonts w:ascii="Arial" w:hAnsi="Arial" w:cs="Arial"/>
          <w:b/>
          <w:i w:val="0"/>
          <w:color w:val="1F4D78"/>
          <w:sz w:val="24"/>
        </w:rPr>
        <w:t>2. Заверения и обязанности Владельца</w:t>
      </w:r>
    </w:p>
    <w:p>
      <w:pPr>
        <w:spacing w:after="80" w:line="245" w:lineRule="auto"/>
      </w:pPr>
      <w:r>
        <w:rPr>
          <w:rFonts w:ascii="Arial" w:hAnsi="Arial" w:cs="Arial"/>
          <w:b w:val="0"/>
          <w:i w:val="0"/>
          <w:color w:val="142436"/>
          <w:sz w:val="19"/>
        </w:rPr>
        <w:t>Владелец заверяет, что вправе предоставить объект, публикует достоверные сведения, обеспечивает доступ в согласованный интервал и передаёт объект в состоянии, соответствующем подтверждению брони с учётом нормального износа. Владелец до брони сообщает правила объекта, ограничения, условия допуска к оборудованию и известные ему обстоятельства, существенно влияющие на использование.</w:t>
      </w:r>
    </w:p>
    <w:p>
      <w:pPr>
        <w:spacing w:after="80" w:line="245" w:lineRule="auto"/>
      </w:pPr>
      <w:r>
        <w:rPr>
          <w:rFonts w:ascii="Arial" w:hAnsi="Arial" w:cs="Arial"/>
          <w:b w:val="0"/>
          <w:i w:val="0"/>
          <w:color w:val="142436"/>
          <w:sz w:val="19"/>
        </w:rPr>
        <w:t>Владелец не вправе в одностороннем порядке менять цену, время, состав оборудования, правила отмены или залога после подтверждения брони, кроме случая, когда Специалист прямо согласился на новое подтверждение. При невозможности предоставить объект Владелец незамедлительно уведомляет Специалиста и несёт последствия по закону и настоящему договору.</w:t>
      </w:r>
    </w:p>
    <w:p>
      <w:pPr>
        <w:spacing w:before="140" w:after="80"/>
      </w:pPr>
      <w:r>
        <w:rPr>
          <w:rFonts w:ascii="Arial" w:hAnsi="Arial" w:cs="Arial"/>
          <w:b/>
          <w:i w:val="0"/>
          <w:color w:val="1F4D78"/>
          <w:sz w:val="24"/>
        </w:rPr>
        <w:t>3. Обязанности и заверения Специалиста</w:t>
      </w:r>
    </w:p>
    <w:p>
      <w:pPr>
        <w:spacing w:after="80" w:line="245" w:lineRule="auto"/>
      </w:pPr>
      <w:r>
        <w:rPr>
          <w:rFonts w:ascii="Arial" w:hAnsi="Arial" w:cs="Arial"/>
          <w:b w:val="0"/>
          <w:i w:val="0"/>
          <w:color w:val="142436"/>
          <w:sz w:val="19"/>
        </w:rPr>
        <w:t>Специалист использует объект только в согласованные время, цель и пределах, соблюдает инструкции и меры безопасности, не передаёт доступ третьим лицам без согласия Владельца, не вносит изменения в оборудование и незамедлительно сообщает о неисправности, повреждении или инциденте. Специалист самостоятельно отвечает за свою деятельность, отношения с клиентами, документы о квалификации и законность оказываемой эстетической услуги.</w:t>
      </w:r>
    </w:p>
    <w:p>
      <w:pPr>
        <w:spacing w:after="80" w:line="245" w:lineRule="auto"/>
      </w:pPr>
      <w:r>
        <w:rPr>
          <w:rFonts w:ascii="Arial" w:hAnsi="Arial" w:cs="Arial"/>
          <w:b w:val="0"/>
          <w:i w:val="0"/>
          <w:color w:val="142436"/>
          <w:sz w:val="19"/>
        </w:rPr>
        <w:t>Специалист не вправе использовать объект для незаконной деятельности, хранить запрещённые предметы или выполнять действия, не согласованные с Владельцем. Наличие профиля, брони или загруженного файла в Сервисе не является заверением или гарантией Active PRO о квалификации, праве либо допуске Специалиста.</w:t>
      </w:r>
    </w:p>
    <w:p>
      <w:pPr>
        <w:spacing w:before="140" w:after="80"/>
      </w:pPr>
      <w:r>
        <w:rPr>
          <w:rFonts w:ascii="Arial" w:hAnsi="Arial" w:cs="Arial"/>
          <w:b/>
          <w:i w:val="0"/>
          <w:color w:val="1F4D78"/>
          <w:sz w:val="24"/>
        </w:rPr>
        <w:t>4. Цена, прямой расчёт, залог и отмена</w:t>
      </w:r>
    </w:p>
    <w:p>
      <w:pPr>
        <w:spacing w:after="80" w:line="245" w:lineRule="auto"/>
      </w:pPr>
      <w:r>
        <w:rPr>
          <w:rFonts w:ascii="Arial" w:hAnsi="Arial" w:cs="Arial"/>
          <w:b w:val="0"/>
          <w:i w:val="0"/>
          <w:color w:val="142436"/>
          <w:sz w:val="19"/>
        </w:rPr>
        <w:t>Цена, срок, способ и срок прямой оплаты указаны в подтверждении брони. Расчёт производится непосредственно между Владельцем и Специалистом. Условие о залоге действительно только если до брони согласованы его сумма, назначение, способ внесения, срок возврата и основания удержания. Active PRO не принимает, не хранит, не распределяет и не возвращает эти денежные средства.</w:t>
      </w:r>
    </w:p>
    <w:p>
      <w:pPr>
        <w:spacing w:after="80" w:line="245" w:lineRule="auto"/>
      </w:pPr>
      <w:r>
        <w:rPr>
          <w:rFonts w:ascii="Arial" w:hAnsi="Arial" w:cs="Arial"/>
          <w:b w:val="0"/>
          <w:i w:val="0"/>
          <w:color w:val="142436"/>
          <w:sz w:val="19"/>
        </w:rPr>
        <w:t>Для указанного в брони IPL-аппарата Владелец рекомендует Специалисту использовать стойку-держатель манипулы во избежание падения и разбития. Если стороны согласовали залог за IPL-аппарат, его сумма равна стоимости перечисленных в акте или подтверждении брони бьющихся частей манипулы; перечень и стоимость таких частей показываются до подтверждения брони.</w:t>
      </w:r>
    </w:p>
    <w:p>
      <w:pPr>
        <w:spacing w:after="80" w:line="245" w:lineRule="auto"/>
      </w:pPr>
      <w:r>
        <w:rPr>
          <w:rFonts w:ascii="Arial" w:hAnsi="Arial" w:cs="Arial"/>
          <w:b w:val="0"/>
          <w:i w:val="0"/>
          <w:color w:val="142436"/>
          <w:sz w:val="19"/>
        </w:rPr>
        <w:t>Отмена, перенос, неявка и последствия определяются подтверждением брони и опубликованными до брони правилами Владельца. При отсутствии такого правила стороны согласуют последствия напрямую. Изменение существенного условия требует нового подтверждения; спорная сумма не удерживается платформой и не определяется ею.</w:t>
      </w:r>
    </w:p>
    <w:p>
      <w:r>
        <w:br w:type="page"/>
      </w:r>
    </w:p>
    <w:p>
      <w:pPr>
        <w:spacing w:before="140" w:after="80"/>
      </w:pPr>
      <w:r>
        <w:rPr>
          <w:rFonts w:ascii="Arial" w:hAnsi="Arial" w:cs="Arial"/>
          <w:b/>
          <w:i w:val="0"/>
          <w:color w:val="1F4D78"/>
          <w:sz w:val="24"/>
        </w:rPr>
        <w:t>5. Передача, оборудование, повреждения</w:t>
      </w:r>
    </w:p>
    <w:p>
      <w:pPr>
        <w:spacing w:after="80" w:line="245" w:lineRule="auto"/>
      </w:pPr>
      <w:r>
        <w:rPr>
          <w:rFonts w:ascii="Arial" w:hAnsi="Arial" w:cs="Arial"/>
          <w:b w:val="0"/>
          <w:i w:val="0"/>
          <w:color w:val="142436"/>
          <w:sz w:val="19"/>
        </w:rPr>
        <w:t>Состояние кабинета, оборудования, доступов и комплектации может фиксироваться актом передачи, фото или перепиской. При необходимости стороны указывают серийные номера, имеющиеся недостатки и замечания. Отсутствие акта не означает автоматически отсутствие либо наличие ущерба, но каждая сторона вправе ссылаться на иные допустимые доказательства.</w:t>
      </w:r>
    </w:p>
    <w:p>
      <w:pPr>
        <w:spacing w:after="80" w:line="245" w:lineRule="auto"/>
      </w:pPr>
      <w:r>
        <w:rPr>
          <w:rFonts w:ascii="Arial" w:hAnsi="Arial" w:cs="Arial"/>
          <w:b w:val="0"/>
          <w:i w:val="0"/>
          <w:color w:val="142436"/>
          <w:sz w:val="19"/>
        </w:rPr>
        <w:t>Сторона, заявляющая о повреждении, уведомляет другую сторону без неоправданной задержки, описывает обстоятельства и предоставляет доступные доказательства. Возмещение производится только при доказанности состава ответственности и размера ущерба либо по отдельному соглашению сторон. Владелец вправе ограничить доступ к неисправному оборудованию для безопасности.</w:t>
      </w:r>
    </w:p>
    <w:p>
      <w:pPr>
        <w:spacing w:before="140" w:after="80"/>
      </w:pPr>
      <w:r>
        <w:rPr>
          <w:rFonts w:ascii="Arial" w:hAnsi="Arial" w:cs="Arial"/>
          <w:b/>
          <w:i w:val="0"/>
          <w:color w:val="1F4D78"/>
          <w:sz w:val="24"/>
        </w:rPr>
        <w:t>6. Ответственность и прекращение</w:t>
      </w:r>
    </w:p>
    <w:p>
      <w:pPr>
        <w:spacing w:after="80" w:line="245" w:lineRule="auto"/>
      </w:pPr>
      <w:r>
        <w:rPr>
          <w:rFonts w:ascii="Arial" w:hAnsi="Arial" w:cs="Arial"/>
          <w:b w:val="0"/>
          <w:i w:val="0"/>
          <w:color w:val="142436"/>
          <w:sz w:val="19"/>
        </w:rPr>
        <w:t>Каждая сторона отвечает за реальный документально подтверждённый ущерб, причинённый другой стороне по её вине, в пределах законодательства Российской Федерации. Стороны не отвечают за упущенную выгоду, если обязанность её возмещения прямо не установлена законом или отдельным подписанным соглашением. Ни одна сторона не освобождается от ответственности за умышленное нарушение.</w:t>
      </w:r>
    </w:p>
    <w:p>
      <w:pPr>
        <w:spacing w:after="80" w:line="245" w:lineRule="auto"/>
      </w:pPr>
      <w:r>
        <w:rPr>
          <w:rFonts w:ascii="Arial" w:hAnsi="Arial" w:cs="Arial"/>
          <w:b w:val="0"/>
          <w:i w:val="0"/>
          <w:color w:val="142436"/>
          <w:sz w:val="19"/>
        </w:rPr>
        <w:t>Настоящий договор действует до прекращения одной из сторон через интерфейс или письменное уведомление, но это не отменяет уже подтверждённые брони, расчёты и обязанности по сохранению доказательств. Существенное нарушение правил объекта, неуплата, угроза безопасности или использование не по назначению позволяют другой стороне прекратить будущие брони и потребовать возмещения в установленном порядке.</w:t>
      </w:r>
    </w:p>
    <w:p>
      <w:pPr>
        <w:spacing w:before="140" w:after="80"/>
      </w:pPr>
      <w:r>
        <w:rPr>
          <w:rFonts w:ascii="Arial" w:hAnsi="Arial" w:cs="Arial"/>
          <w:b/>
          <w:i w:val="0"/>
          <w:color w:val="1F4D78"/>
          <w:sz w:val="24"/>
        </w:rPr>
        <w:t>7. Данные, конфиденциальность и электронное подписание</w:t>
      </w:r>
    </w:p>
    <w:p>
      <w:pPr>
        <w:spacing w:after="80" w:line="245" w:lineRule="auto"/>
      </w:pPr>
      <w:r>
        <w:rPr>
          <w:rFonts w:ascii="Arial" w:hAnsi="Arial" w:cs="Arial"/>
          <w:b w:val="0"/>
          <w:i w:val="0"/>
          <w:color w:val="142436"/>
          <w:sz w:val="19"/>
        </w:rPr>
        <w:t>Каждая сторона использует данные другой стороны только для исполнения настоящего договора, брони, расчёта, безопасности и защиты права. Сведения о клиентах Специалиста не передаются Владельцу без самостоятельного законного основания. Стороны признают электронное подтверждение, произведённое показанным в Сервисе способом, и доказательства, сохранённые Сервисом; при споре каждая сторона вправе представить контрдоказательства.</w:t>
      </w:r>
    </w:p>
    <w:p>
      <w:pPr>
        <w:spacing w:before="140" w:after="80"/>
      </w:pPr>
      <w:r>
        <w:rPr>
          <w:rFonts w:ascii="Arial" w:hAnsi="Arial" w:cs="Arial"/>
          <w:b/>
          <w:i w:val="0"/>
          <w:color w:val="1F4D78"/>
          <w:sz w:val="24"/>
        </w:rPr>
        <w:t>8. Споры</w:t>
      </w:r>
    </w:p>
    <w:p>
      <w:pPr>
        <w:spacing w:after="80" w:line="245" w:lineRule="auto"/>
      </w:pPr>
      <w:r>
        <w:rPr>
          <w:rFonts w:ascii="Arial" w:hAnsi="Arial" w:cs="Arial"/>
          <w:b w:val="0"/>
          <w:i w:val="0"/>
          <w:color w:val="142436"/>
          <w:sz w:val="19"/>
        </w:rPr>
        <w:t>Претензия по договору направляется непосредственно другой стороне по контактам из профиля или подтверждения брони. Получатель отвечает в разумный срок; при отсутствии соглашения спор разрешается по законодательству Российской Федерации. Обращение к Active PRO не заменяет претензию Прямой стороне и ограничивается вопросами работы Сервиса или доказательств электронных действий.</w:t>
      </w:r>
    </w:p>
    <w:sectPr w:rsidR="00FC693F" w:rsidRPr="0006063C" w:rsidSect="00034616">
      <w:headerReference w:type="default" r:id="rId9"/>
      <w:footerReference w:type="default" r:id="rId10"/>
      <w:pgSz w:w="11906" w:h="16838"/>
      <w:pgMar w:top="737" w:right="992" w:bottom="737" w:left="992"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s="Arial"/>
        <w:b w:val="0"/>
        <w:i w:val="0"/>
        <w:color w:val="595959"/>
        <w:sz w:val="16"/>
      </w:rPr>
      <w:t>ООО «Актив Плюс»  ·  действует с 21.08.2026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cs="Arial"/>
        <w:b w:val="0"/>
        <w:i w:val="0"/>
        <w:color w:val="595959"/>
        <w:sz w:val="16"/>
      </w:rPr>
      <w:t>АКТИВ PRO  ·  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color w:val="14243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