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cs="Arial"/>
          <w:b/>
          <w:i w:val="0"/>
          <w:color w:val="1F4D78"/>
          <w:sz w:val="18"/>
        </w:rPr>
        <w:t>КОНСОЛИДИРОВАННАЯ РЕДАКЦИЯ 1.3</w:t>
      </w:r>
    </w:p>
    <w:p>
      <w:pPr>
        <w:spacing w:after="60"/>
        <w:jc w:val="center"/>
      </w:pPr>
      <w:r>
        <w:rPr>
          <w:rFonts w:ascii="Arial" w:hAnsi="Arial" w:cs="Arial"/>
          <w:b/>
          <w:i w:val="0"/>
          <w:color w:val="142436"/>
          <w:sz w:val="31"/>
        </w:rPr>
        <w:t>ПРАВИЛА РАЗМЕЩЕНИЯ, БРОНИРОВАНИЯ, ЗАЛОГА И ДОСТУПА</w:t>
      </w:r>
    </w:p>
    <w:p>
      <w:pPr>
        <w:spacing w:after="200"/>
        <w:jc w:val="center"/>
      </w:pPr>
      <w:r>
        <w:rPr>
          <w:rFonts w:ascii="Arial" w:hAnsi="Arial" w:cs="Arial"/>
          <w:b w:val="0"/>
          <w:i w:val="0"/>
          <w:color w:val="595959"/>
          <w:sz w:val="19"/>
        </w:rPr>
        <w:t>для владельца кабинета/оборудования и специалиста</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start w:w="120" w:type="dxa"/>
              <w:bottom w:w="80" w:type="dxa"/>
              <w:end w:w="120" w:type="dxa"/>
            </w:tcMar>
            <w:shd w:fill="F2F4F7"/>
          </w:tcPr>
          <w:p>
            <w:pPr>
              <w:spacing w:after="0"/>
            </w:pPr>
            <w:r/>
            <w:r>
              <w:rPr>
                <w:rFonts w:ascii="Arial" w:hAnsi="Arial" w:cs="Arial"/>
                <w:b w:val="0"/>
                <w:i/>
                <w:color w:val="595959"/>
                <w:sz w:val="17"/>
              </w:rPr>
              <w:t>Как читать этот документ: это MVP-редакция правил Active PRO. Платформа автоматически подставляет данные сторон, объекта, услуги, даты и цены; выбор, который зависит от воли пользователя, всегда показывается и подтверждается отдельно.</w:t>
            </w:r>
          </w:p>
        </w:tc>
      </w:tr>
    </w:tbl>
    <w:p>
      <w:pPr>
        <w:spacing w:line="220" w:lineRule="exact" w:after="20"/>
      </w:pPr>
      <w:r>
        <w:rPr>
          <w:rFonts w:ascii="Arial" w:hAnsi="Arial" w:cs="Arial"/>
          <w:b w:val="0"/>
          <w:i w:val="0"/>
          <w:color w:val="595959"/>
          <w:sz w:val="4"/>
        </w:rPr>
        <w:t xml:space="preserve"> </w:t>
      </w:r>
    </w:p>
    <w:p>
      <w:pPr>
        <w:spacing w:before="140" w:after="80"/>
      </w:pPr>
      <w:r>
        <w:rPr>
          <w:rFonts w:ascii="Arial" w:hAnsi="Arial" w:cs="Arial"/>
          <w:b/>
          <w:i w:val="0"/>
          <w:color w:val="1F4D78"/>
          <w:sz w:val="24"/>
        </w:rPr>
        <w:t>1. Роли и границы сервиса</w:t>
      </w:r>
    </w:p>
    <w:p>
      <w:pPr>
        <w:spacing w:after="80" w:line="245" w:lineRule="auto"/>
      </w:pPr>
      <w:r>
        <w:rPr>
          <w:rFonts w:ascii="Arial" w:hAnsi="Arial" w:cs="Arial"/>
          <w:b w:val="0"/>
          <w:i w:val="0"/>
          <w:color w:val="142436"/>
          <w:sz w:val="19"/>
        </w:rPr>
        <w:t>Владелец самостоятельно размещает объект, определяет условия, цену, доступность, ограничения, состав оборудования и порядок отмены. Специалист самостоятельно выбирает объект и направляет заявку. После подтверждения брони отношения о предоставлении объекта во временное пользование возникают непосредственно между Владельцем и Специалистом на основании прямого договора и подтверждения брони.</w:t>
      </w:r>
    </w:p>
    <w:p>
      <w:pPr>
        <w:spacing w:after="80" w:line="245" w:lineRule="auto"/>
      </w:pPr>
      <w:r>
        <w:rPr>
          <w:rFonts w:ascii="Arial" w:hAnsi="Arial" w:cs="Arial"/>
          <w:b w:val="0"/>
          <w:i w:val="0"/>
          <w:color w:val="142436"/>
          <w:sz w:val="19"/>
        </w:rPr>
        <w:t>Active PRO предоставляет техническую площадку, передаёт сообщения, формирует документы и хранит доказательства электронных действий. Active PRO не является стороной прямого договора, не получает по нему деньги, не хранит залог, не принимает решение о допуске, не гарантирует состояние объекта и не отвечает за действия Владельца, Специалиста, клиента, страховщика или платёжного участника.</w:t>
      </w:r>
    </w:p>
    <w:p>
      <w:pPr>
        <w:spacing w:before="140" w:after="80"/>
      </w:pPr>
      <w:r>
        <w:rPr>
          <w:rFonts w:ascii="Arial" w:hAnsi="Arial" w:cs="Arial"/>
          <w:b/>
          <w:i w:val="0"/>
          <w:color w:val="1F4D78"/>
          <w:sz w:val="24"/>
        </w:rPr>
        <w:t>2. Карточка объекта, заявка и подтверждение</w:t>
      </w:r>
    </w:p>
    <w:p>
      <w:pPr>
        <w:spacing w:after="80" w:line="245" w:lineRule="auto"/>
      </w:pPr>
      <w:r>
        <w:rPr>
          <w:rFonts w:ascii="Arial" w:hAnsi="Arial" w:cs="Arial"/>
          <w:b w:val="0"/>
          <w:i w:val="0"/>
          <w:color w:val="142436"/>
          <w:sz w:val="19"/>
        </w:rPr>
        <w:t>Карточка объекта и подтверждение брони должны содержать как минимум объект, дату и время, цену, применимый состав оборудования, ограничения, порядок доступа, отмены и залога, если он предусмотрен. Специалист обязан проверить эти сведения до подтверждения. Изменение стороны, объекта, времени, цены, оборудования или иного существенного условия требует нового подтверждения.</w:t>
      </w:r>
    </w:p>
    <w:p>
      <w:pPr>
        <w:spacing w:after="80" w:line="245" w:lineRule="auto"/>
      </w:pPr>
      <w:r>
        <w:rPr>
          <w:rFonts w:ascii="Arial" w:hAnsi="Arial" w:cs="Arial"/>
          <w:b w:val="0"/>
          <w:i w:val="0"/>
          <w:color w:val="142436"/>
          <w:sz w:val="19"/>
        </w:rPr>
        <w:t>Статус в Сервисе фиксирует техническую историю заявки, но сам по себе не заменяет прямой договор там, где стороны выбрали его оформление. Если правила Владельца противоречат подтверждению брони, для конкретной брони приоритет имеет показанное и принятое сторонами подтверждение, если они явно не согласовали иное.</w:t>
      </w:r>
    </w:p>
    <w:p>
      <w:pPr>
        <w:spacing w:before="140" w:after="80"/>
      </w:pPr>
      <w:r>
        <w:rPr>
          <w:rFonts w:ascii="Arial" w:hAnsi="Arial" w:cs="Arial"/>
          <w:b/>
          <w:i w:val="0"/>
          <w:color w:val="1F4D78"/>
          <w:sz w:val="24"/>
        </w:rPr>
        <w:t>3. Обязанности Владельца и Специалиста</w:t>
      </w:r>
    </w:p>
    <w:p>
      <w:pPr>
        <w:spacing w:after="80" w:line="245" w:lineRule="auto"/>
      </w:pPr>
      <w:r>
        <w:rPr>
          <w:rFonts w:ascii="Arial" w:hAnsi="Arial" w:cs="Arial"/>
          <w:b w:val="0"/>
          <w:i w:val="0"/>
          <w:color w:val="142436"/>
          <w:sz w:val="19"/>
        </w:rPr>
        <w:t>Владелец отвечает за законность распоряжения объектом, достоверность карточки, доступ в согласованное время, заявленное состояние кабинета и оборудования, инструкции и ограничения эксплуатации. Он вправе отказать в использовании оборудования при отсутствии предусмотренного им инструктажа или документов, но обязан сообщить такое условие до подтверждения брони.</w:t>
      </w:r>
    </w:p>
    <w:p>
      <w:pPr>
        <w:spacing w:after="80" w:line="245" w:lineRule="auto"/>
      </w:pPr>
      <w:r>
        <w:rPr>
          <w:rFonts w:ascii="Arial" w:hAnsi="Arial" w:cs="Arial"/>
          <w:b w:val="0"/>
          <w:i w:val="0"/>
          <w:color w:val="142436"/>
          <w:sz w:val="19"/>
        </w:rPr>
        <w:t>Специалист отвечает за соблюдение условий объекта, бережное использование, недопуск третьих лиц без согласия Владельца, сохранность переданного доступа, немедленное сообщение о неисправности или инциденте и свою профессиональную деятельность. Наличие файла в профиле не означает проверку, рекомендацию или допуск со стороны Active PRO.</w:t>
      </w:r>
    </w:p>
    <w:p>
      <w:pPr>
        <w:spacing w:before="140" w:after="80"/>
      </w:pPr>
      <w:r>
        <w:rPr>
          <w:rFonts w:ascii="Arial" w:hAnsi="Arial" w:cs="Arial"/>
          <w:b/>
          <w:i w:val="0"/>
          <w:color w:val="1F4D78"/>
          <w:sz w:val="24"/>
        </w:rPr>
        <w:t>4. Отмена, перенос, залог и расчёты</w:t>
      </w:r>
    </w:p>
    <w:p>
      <w:pPr>
        <w:spacing w:after="80" w:line="245" w:lineRule="auto"/>
      </w:pPr>
      <w:r>
        <w:rPr>
          <w:rFonts w:ascii="Arial" w:hAnsi="Arial" w:cs="Arial"/>
          <w:b w:val="0"/>
          <w:i w:val="0"/>
          <w:color w:val="142436"/>
          <w:sz w:val="19"/>
        </w:rPr>
        <w:t>Правила отмены, переноса, неявки и удержания устанавливает Владелец до бронирования. Если они не опубликованы, Владелец и Специалист согласуют их напрямую; Active PRO не определяет размер удержания и не осуществляет возврат по прямому расчёту. Спор о такой сумме разрешают Прямые стороны.</w:t>
      </w:r>
    </w:p>
    <w:p>
      <w:pPr>
        <w:spacing w:after="80" w:line="245" w:lineRule="auto"/>
      </w:pPr>
      <w:r>
        <w:rPr>
          <w:rFonts w:ascii="Arial" w:hAnsi="Arial" w:cs="Arial"/>
          <w:b w:val="0"/>
          <w:i w:val="0"/>
          <w:color w:val="142436"/>
          <w:sz w:val="19"/>
        </w:rPr>
        <w:t>Залог возможен только при прямом соглашении сторон, в котором до брони указаны сумма, назначение, способ внесения, условия возврата и основания удержания. Перечисление залога, аренды или компенсации ущерба не делает Active PRO получателем, хранителем или распорядителем этих сумм.</w:t>
      </w:r>
    </w:p>
    <w:p>
      <w:pPr>
        <w:spacing w:after="80" w:line="245" w:lineRule="auto"/>
      </w:pPr>
      <w:r>
        <w:rPr>
          <w:rFonts w:ascii="Arial" w:hAnsi="Arial" w:cs="Arial"/>
          <w:b w:val="0"/>
          <w:i w:val="0"/>
          <w:color w:val="142436"/>
          <w:sz w:val="19"/>
        </w:rPr>
        <w:t>Если в брони указан IPL-аппарат, Владелец рекомендует использовать стойку-держатель манипулы, чтобы снизить риск её падения и разбития. Условие о залоге по такому аппарату должно отдельно указывать перечень бьющихся частей манипулы и их стоимость; сумма залога устанавливается равной стоимости этих указанных частей, а не произвольному проценту цены аппарата.</w:t>
      </w:r>
    </w:p>
    <w:p>
      <w:r>
        <w:br w:type="page"/>
      </w:r>
    </w:p>
    <w:p>
      <w:pPr>
        <w:spacing w:before="140" w:after="80"/>
      </w:pPr>
      <w:r>
        <w:rPr>
          <w:rFonts w:ascii="Arial" w:hAnsi="Arial" w:cs="Arial"/>
          <w:b/>
          <w:i w:val="0"/>
          <w:color w:val="1F4D78"/>
          <w:sz w:val="24"/>
        </w:rPr>
        <w:t>5. Передача, инцидент и ответственность</w:t>
      </w:r>
    </w:p>
    <w:p>
      <w:pPr>
        <w:spacing w:after="80" w:line="245" w:lineRule="auto"/>
      </w:pPr>
      <w:r>
        <w:rPr>
          <w:rFonts w:ascii="Arial" w:hAnsi="Arial" w:cs="Arial"/>
          <w:b w:val="0"/>
          <w:i w:val="0"/>
          <w:color w:val="142436"/>
          <w:sz w:val="19"/>
        </w:rPr>
        <w:t>До передачи и возврата стороны вправе оформить акт, добавить замечания, фото или иные материалы. При инциденте они фиксируют дату, обстоятельства, состояние и принятые меры; Владелец может временно остановить доступ, если это необходимо для безопасности. Акт и журнал Сервиса являются доказательствами обстоятельств, но не устанавливают автоматически размер ущерба или обязанность его возместить.</w:t>
      </w:r>
    </w:p>
    <w:p>
      <w:pPr>
        <w:spacing w:after="80" w:line="245" w:lineRule="auto"/>
      </w:pPr>
      <w:r>
        <w:rPr>
          <w:rFonts w:ascii="Arial" w:hAnsi="Arial" w:cs="Arial"/>
          <w:b w:val="0"/>
          <w:i w:val="0"/>
          <w:color w:val="142436"/>
          <w:sz w:val="19"/>
        </w:rPr>
        <w:t>Каждая Прямая сторона возмещает другой стороне документально подтверждённый ущерб, причинённый по её вине, в порядке прямого договора и закона. Споры об объекте, оборудовании, залоге, расчёте или ущербе стороны сначала направляют друг другу; обращение в Active PRO возможно только по работе Сервиса и доказательствам его действий.</w:t>
      </w:r>
    </w:p>
    <w:p>
      <w:pPr>
        <w:spacing w:before="140" w:after="80"/>
      </w:pPr>
      <w:r>
        <w:rPr>
          <w:rFonts w:ascii="Arial" w:hAnsi="Arial" w:cs="Arial"/>
          <w:b/>
          <w:i w:val="0"/>
          <w:color w:val="1F4D78"/>
          <w:sz w:val="24"/>
        </w:rPr>
        <w:t>6. Данные, электронные действия и приоритет</w:t>
      </w:r>
    </w:p>
    <w:p>
      <w:pPr>
        <w:spacing w:after="80" w:line="245" w:lineRule="auto"/>
      </w:pPr>
      <w:r>
        <w:rPr>
          <w:rFonts w:ascii="Arial" w:hAnsi="Arial" w:cs="Arial"/>
          <w:b w:val="0"/>
          <w:i w:val="0"/>
          <w:color w:val="142436"/>
          <w:sz w:val="19"/>
        </w:rPr>
        <w:t>К подтверждениям брони и актам применяются правила электронного взаимодействия из Публичной оферты. Данные обрабатываются по Политике обработки ПД. В части прямого использования объекта приоритет имеют прямой договор, его подтверждения и акт; настоящие Правила определяют единый порядок работы Сервиса и не создают обязательства Active PRO возместить спорную сумму.</w:t>
      </w:r>
    </w:p>
    <w:sectPr w:rsidR="00FC693F" w:rsidRPr="0006063C" w:rsidSect="00034616">
      <w:headerReference w:type="default" r:id="rId9"/>
      <w:footerReference w:type="default" r:id="rId10"/>
      <w:pgSz w:w="11906" w:h="16838"/>
      <w:pgMar w:top="737" w:right="992" w:bottom="737"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b w:val="0"/>
        <w:i w:val="0"/>
        <w:color w:val="595959"/>
        <w:sz w:val="16"/>
      </w:rPr>
      <w:t>ООО «Актив Плюс»  ·  действует с 21.08.2026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s="Arial"/>
        <w:b w:val="0"/>
        <w:i w:val="0"/>
        <w:color w:val="595959"/>
        <w:sz w:val="16"/>
      </w:rPr>
      <w:t>АКТИВ PRO  ·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color w:val="1424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